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br/>
      </w:r>
      <w:r>
        <w:t xml:space="preserve">October 15, 2023</w:t>
      </w:r>
      <w:r>
        <w:br/>
      </w:r>
      <w:r>
        <w:rPr>
          <w:bCs/>
          <w:b/>
        </w:rPr>
        <w:t xml:space="preserve">To:</w:t>
      </w:r>
      <w:r>
        <w:br/>
      </w:r>
      <w:r>
        <w:t xml:space="preserve">Department of Biomedical Engineering</w:t>
      </w:r>
      <w:r>
        <w:br/>
      </w:r>
      <w:r>
        <w:t xml:space="preserve">Frankfurt University of Applied Sciences</w:t>
      </w:r>
      <w:r>
        <w:br/>
      </w:r>
      <w:r>
        <w:rPr>
          <w:bCs/>
          <w:b/>
        </w:rPr>
        <w:t xml:space="preserve">From:</w:t>
      </w:r>
      <w:r>
        <w:br/>
      </w:r>
      <w:r>
        <w:t xml:space="preserve">Lead Research Analyst   </w:t>
      </w:r>
    </w:p>
    <w:p>
      <w:pPr>
        <w:pStyle w:val="BodyText"/>
      </w:pPr>
      <w:r>
        <w:t xml:space="preserve">Subject:</w:t>
      </w:r>
    </w:p>
    <w:p>
      <w:pPr>
        <w:pStyle w:val="BodyText"/>
      </w:pPr>
      <w:r>
        <w:t xml:space="preserve">&lt; P &gt; Comprehensive Analysis and Strategic Implementation Plan for Biomedical Engineering Operations in Germany, Frankfurt</w:t>
      </w:r>
    </w:p>
    <w:bookmarkStart w:id="26" w:name="X518198bb6d671bd2166734e39de0413577cbe1e"/>
    <w:p>
      <w:pPr>
        <w:pStyle w:val="Heading1"/>
      </w:pPr>
      <w:r>
        <w:t xml:space="preserve">Laboratory Report: Integration of Advanced Biomedical Engineering Systems in Germany, Frankfurt</w:t>
      </w:r>
    </w:p>
    <w:p>
      <w:r>
        <w:pict>
          <v:rect style="width:0;height:1.5pt" o:hralign="center" o:hrstd="t" o:hr="t"/>
        </w:pict>
      </w:r>
    </w:p>
    <w:p>
      <w:pPr>
        <w:pStyle w:val="FirstParagraph"/>
      </w:pPr>
      <w:r>
        <w:br/>
      </w:r>
    </w:p>
    <w:p>
      <w:pPr>
        <w:pStyle w:val="BodyText"/>
      </w:pPr>
      <w:r>
        <w:t xml:space="preserve">&lt; h2 &gt; 1.0 Executive Summary &lt; P &gt; This Laboratory Report provides a detailed examination of the current landscape for Biomedical Engineer initiatives within the specific geographical and regulatory context of Germany, Frankfurt. The primary objective is to evaluate how biomedical engineering principles can be effectively applied to enhance healthcare infrastructure in this major European hub. As Frankfurt serves as both a financial capital and a growing medical research center in Germany, it presents unique opportunities for the deployment of cutting-edge biomedical technologies.</w:t>
      </w:r>
    </w:p>
    <w:p>
      <w:pPr>
        <w:pStyle w:val="BodyText"/>
      </w:pPr>
      <w:r>
        <w:t xml:space="preserve">&lt; P &gt; The report outlines critical considerations regarding regulatory compliance with German federal laws, integration with local hospital systems such as University Hospital Frankfurt (UKF), and the strategic importance of cross-disciplinary collaboration. Our findings indicate that a robust framework involving advanced diagnostic equipment, telemedicine infrastructure, and data privacy standards is essential for success in this region.</w:t>
      </w:r>
    </w:p>
    <w:p>
      <w:pPr>
        <w:pStyle w:val="BodyText"/>
      </w:pPr>
      <w:r>
        <w:t xml:space="preserve">&lt; div class ="section "&gt; &lt; h2 &gt; 2.0 Introduction &lt; P &gt; Biomedical Engineering represents the intersection of engineering principles with medical and biological sciences. In the context of Germany, a nation renowned for its precision engineering and robust healthcare system, the role of a Biomedical Engineer is pivotal in bridging technological innovation with clinical practice.</w:t>
      </w:r>
    </w:p>
    <w:p>
      <w:pPr>
        <w:pStyle w:val="BodyText"/>
      </w:pPr>
      <w:r>
        <w:t xml:space="preserve">&lt; P &gt; Frankfurt, located in the state of Hesse, is not only home to one of Germany's busiest airports but also serves as a critical node for medical innovation. The city hosts numerous pharmaceutical companies and research institutes, making it an ideal location for testing and implementing new biomedical technologies. This report aims to document the necessary protocols, ethical considerations, and technical requirements for establishing a functional Biomedical Engineering laboratory or consultancy within Frankfurt.</w:t>
      </w:r>
    </w:p>
    <w:p>
      <w:pPr>
        <w:pStyle w:val="BodyText"/>
      </w:pPr>
      <w:r>
        <w:t xml:space="preserve">&lt; P &gt; It is imperative to note that the terminology "Biomedical Engineer" in this document refers specifically to professionals responsible for designing, developing, and maintaining medical devices and software systems. The scope of this report covers hardware integration, regulatory compliance (CE marking), and interoperability with existing German healthcare IT systems.</w:t>
      </w:r>
    </w:p>
    <w:p>
      <w:pPr>
        <w:pStyle w:val="BodyText"/>
      </w:pPr>
      <w:r>
        <w:t xml:space="preserve">&lt; div class ="section "&gt; &lt; h2 &gt; 3.0 Methodology &lt; P &gt; To ensure the accuracy and relevance of this Lab Report, a multi-faceted methodology was employed:</w:t>
      </w:r>
    </w:p>
    <w:p>
      <w:pPr>
        <w:numPr>
          <w:ilvl w:val="0"/>
          <w:numId w:val="1001"/>
        </w:numPr>
        <w:pStyle w:val="Compact"/>
      </w:pPr>
      <w:r>
        <w:rPr>
          <w:bCs/>
          <w:b/>
        </w:rPr>
        <w:t xml:space="preserve">Literature Review:</w:t>
      </w:r>
      <w:r>
        <w:t xml:space="preserve">A comprehensive analysis of German medical device regulations (Medizinproduktergesetz - MPG) and European Union directives on Medical Devices (MDR).</w:t>
      </w:r>
    </w:p>
    <w:p>
      <w:pPr>
        <w:numPr>
          <w:ilvl w:val="0"/>
          <w:numId w:val="1001"/>
        </w:numPr>
        <w:pStyle w:val="Compact"/>
      </w:pPr>
      <w:r>
        <w:rPr>
          <w:bCs/>
          <w:b/>
        </w:rPr>
        <w:t xml:space="preserve">Expert Interviews:</w:t>
      </w:r>
      <w:r>
        <w:t xml:space="preserve">Consultations with senior Biomedical Engineer professionals operating within the DACH (Germany, Austria, Switzerland) region to understand local operational challenges.</w:t>
      </w:r>
    </w:p>
    <w:p>
      <w:pPr>
        <w:pStyle w:val="FirstParagraph"/>
      </w:pPr>
      <w:r>
        <w:br/>
      </w:r>
    </w:p>
    <w:bookmarkStart w:id="23" w:name="technical-analysis-and-observations"/>
    <w:p>
      <w:pPr>
        <w:pStyle w:val="Heading2"/>
      </w:pPr>
      <w:r>
        <w:t xml:space="preserve">4.0 Technical Analysis and Observations</w:t>
      </w:r>
    </w:p>
    <w:p>
      <w:pPr>
        <w:pStyle w:val="FirstParagraph"/>
      </w:pPr>
      <w:r>
        <w:br/>
      </w:r>
    </w:p>
    <w:p>
      <w:r>
        <w:pict>
          <v:rect style="width:0;height:1.5pt" o:hralign="center" o:hrstd="t" o:hr="t"/>
        </w:pict>
      </w:r>
    </w:p>
    <w:bookmarkStart w:id="20" w:name="Xb9148130b95a1da9ed52a8f6f62d8c3bb8a0354"/>
    <w:p>
      <w:pPr>
        <w:pStyle w:val="Heading3"/>
      </w:pPr>
      <w:r>
        <w:t xml:space="preserve">4.1 Regulatory Landscape in Germany, Frankfurt</w:t>
      </w:r>
    </w:p>
    <w:p>
      <w:pPr>
        <w:pStyle w:val="FirstParagraph"/>
      </w:pPr>
      <w:r>
        <w:t xml:space="preserve">Operating as a Biomedical Engineer in Germany requires strict adherence to national and EU regulations. In Frankfurt, this involves coordination with the local health authorities (Gesundheitsamt) and ensuring all devices carry the CE Mark.</w:t>
      </w:r>
    </w:p>
    <w:p>
      <w:pPr>
        <w:numPr>
          <w:ilvl w:val="0"/>
          <w:numId w:val="1002"/>
        </w:numPr>
        <w:pStyle w:val="Compact"/>
      </w:pPr>
      <w:r>
        <w:rPr>
          <w:bCs/>
          <w:b/>
        </w:rPr>
        <w:t xml:space="preserve">MPG Compliance:</w:t>
      </w:r>
      <w:r>
        <w:t xml:space="preserve">All medical equipment must meet the requirements of the German Medical Devices Act. This ensures that patient safety is paramount in all engineering processes.</w:t>
      </w:r>
    </w:p>
    <w:p>
      <w:pPr>
        <w:numPr>
          <w:ilvl w:val="0"/>
          <w:numId w:val="1002"/>
        </w:numPr>
        <w:pStyle w:val="Compact"/>
      </w:pPr>
      <w:r>
        <w:t xml:space="preserve">Data Privacy: Given Frankfurt's status as a financial hub, data security is critical. Biomedical Engineer systems handling patient data must comply with GDPR (General Data Protection Regulation) and specific German IT security standards for healthcare.</w:t>
      </w:r>
    </w:p>
    <w:bookmarkEnd w:id="20"/>
    <w:bookmarkStart w:id="21" w:name="infrastructure-integration"/>
    <w:p>
      <w:pPr>
        <w:pStyle w:val="Heading3"/>
      </w:pPr>
      <w:r>
        <w:t xml:space="preserve">4.2 Infrastructure Integration</w:t>
      </w:r>
    </w:p>
    <w:p>
      <w:pPr>
        <w:pStyle w:val="FirstParagraph"/>
      </w:pPr>
      <w:r>
        <w:t xml:space="preserve">The integration of biomedical devices into the existing infrastructure of Germany, Frankfurt hospitals poses significant challenges due to the heterogeneity of systems. A primary observation in this Lab Report is the need for universal interoperability standards. Most modern medical devices must communicate via HL7 or FHIR standards.</w:t>
      </w:r>
    </w:p>
    <w:p>
      <w:pPr>
        <w:pStyle w:val="BodyText"/>
      </w:pPr>
      <w:r>
        <w:t xml:space="preserve">In our assessment, we found that many older facilities in central Frankfurt struggle with integrating new IoT-enabled diagnostic tools. Therefore, a key role of the Biomedical Engineer is to act as a middleware specialist, ensuring seamless data flow between legacy systems and modern digital health platforms.</w:t>
      </w:r>
    </w:p>
    <w:bookmarkEnd w:id="21"/>
    <w:bookmarkStart w:id="22" w:name="emerging-technologies"/>
    <w:p>
      <w:pPr>
        <w:pStyle w:val="Heading3"/>
      </w:pPr>
      <w:r>
        <w:t xml:space="preserve">4.3 Emerging Technologies</w:t>
      </w:r>
    </w:p>
    <w:p>
      <w:pPr>
        <w:numPr>
          <w:ilvl w:val="0"/>
          <w:numId w:val="1003"/>
        </w:numPr>
        <w:pStyle w:val="Compact"/>
      </w:pPr>
      <w:r>
        <w:rPr>
          <w:bCs/>
          <w:b/>
        </w:rPr>
        <w:t xml:space="preserve">AI in Diagnostics:</w:t>
      </w:r>
      <w:r>
        <w:t xml:space="preserve">Frankfurt is increasingly adopting Artificial Intelligence for radiological analysis. Biomedical Engineers are tasked with validating these algorithms against clinical ground truths.</w:t>
      </w:r>
    </w:p>
    <w:p>
      <w:pPr>
        <w:numPr>
          <w:ilvl w:val="0"/>
          <w:numId w:val="1003"/>
        </w:numPr>
        <w:pStyle w:val="Compact"/>
      </w:pPr>
      <w:r>
        <w:t xml:space="preserve">Telereading: With the rise of telemedicine, remote monitoring devices are crucial. Our lab tests demonstrated that latency issues in regional networks can impact the reliability of real-time patient monitoring systems.</w:t>
      </w:r>
    </w:p>
    <w:bookmarkEnd w:id="22"/>
    <w:bookmarkEnd w:id="23"/>
    <w:bookmarkStart w:id="24" w:name="ethical-and-safety-considerations"/>
    <w:p>
      <w:pPr>
        <w:pStyle w:val="Heading2"/>
      </w:pPr>
      <w:r>
        <w:t xml:space="preserve">5.0 Ethical and Safety Considerations</w:t>
      </w:r>
    </w:p>
    <w:p>
      <w:pPr>
        <w:pStyle w:val="FirstParagraph"/>
      </w:pPr>
      <w:r>
        <w:t xml:space="preserve">The Lab Report emphasizes that ethical engineering is non-negotiable in the biomedical field. In Germany, where worker and patient rights are strongly protected, Biomedical Engineers must ensure that all devices undergo rigorous risk assessment.</w:t>
      </w:r>
    </w:p>
    <w:p>
      <w:pPr>
        <w:pStyle w:val="BodyText"/>
      </w:pPr>
      <w:r>
        <w:t xml:space="preserve">Safety protocols include regular calibration checks, failure mode effects analysis (FMEA), and continuous training for medical staff. Furthermore, sustainability is becoming a key metric; engineers in Frankfurt are increasingly pressured to design solutions that minimize electronic waste and energy consumption.</w:t>
      </w:r>
    </w:p>
    <w:bookmarkEnd w:id="24"/>
    <w:bookmarkStart w:id="25" w:name="challenges-identified"/>
    <w:p>
      <w:pPr>
        <w:pStyle w:val="Heading2"/>
      </w:pPr>
      <w:r>
        <w:t xml:space="preserve">6.0 Challenges Identified</w:t>
      </w:r>
    </w:p>
    <w:p>
      <w:pPr>
        <w:pStyle w:val="FirstParagraph"/>
      </w:pPr>
      <w:r>
        <w:t xml:space="preserve">Bureaucratic Delays: Approval processes for new medical technologies in Germany can be lengthy.</w:t>
      </w:r>
    </w:p>
    <w:p>
      <w:pPr>
        <w:pStyle w:val="BodyText"/>
      </w:pPr>
      <w:r>
        <w:t xml:space="preserve">Skill Gap: There is a noticeable shortage of Biomedical Engineers with specialized knowledge in both clinical workflows and advanced software engineering.</w:t>
      </w:r>
    </w:p>
    <w:p>
      <w:pPr>
        <w:pStyle w:val="BodyText"/>
      </w:pPr>
      <w:r>
        <w:t xml:space="preserve">Infrastructure Costs: Upgrading hospital IT infrastructure in historic buildings common to Frankfurt's old town area requires significant investment and creative engineering solutions. &lt; hr/&gt;</w:t>
      </w:r>
      <w:r>
        <w:br/>
      </w:r>
      <w:r>
        <w:t xml:space="preserve">&lt; h2 &gt; 7.0 Recommendations &lt; P &gt; Based on the findings detailed in this Lab Report, we recommend the following strategic actions for stakeholders involved in Biomedical Engineering projects in Germany, Frankfurt:</w:t>
      </w:r>
    </w:p>
    <w:p>
      <w:pPr>
        <w:pStyle w:val="BodyText"/>
      </w:pPr>
      <w:r>
        <w:t xml:space="preserve">Establish a dedicated compliance team familiar with MPG and MDR to expedite product launches.</w:t>
      </w:r>
    </w:p>
    <w:p>
      <w:pPr>
        <w:pStyle w:val="BodyText"/>
      </w:pPr>
      <w:r>
        <w:t xml:space="preserve">Create specialized training programs for Biomedical Engineer roles that include modules on German healthcare law and language proficiency.</w:t>
      </w:r>
    </w:p>
    <w:p>
      <w:pPr>
        <w:pStyle w:val="BodyText"/>
      </w:pPr>
      <w:r>
        <w:t xml:space="preserve">&lt; Li &gt; Invest in robust cybersecurity measures for all connected medical devices to protect patient data in line with Frankfurt's high security standards. &lt; h2 &gt; 8.0 Conclusion &lt; P &gt; This Lab Report concludes that the field of Biomedical Engineering is poised for significant growth in Germany, particularly within the dynamic environment of Frankfurt. By addressing regulatory hurdles, improving infrastructure interoperability, and prioritizing ethical design principles, engineers can significantly enhance patient care outcomes.</w:t>
      </w:r>
    </w:p>
    <w:p>
      <w:pPr>
        <w:pStyle w:val="BodyText"/>
      </w:pPr>
      <w:r>
        <w:t xml:space="preserve">&lt; P &gt; The synergy between Frankfurt's financial resources and its medical research institutions creates a fertile ground for innovation. It is our professional opinion that continued investment in human capital—specifically skilled Biomedical Engineers—is the most critical factor for long-term success in this sector.</w:t>
      </w:r>
    </w:p>
    <w:p>
      <w:pPr>
        <w:pStyle w:val="BodyText"/>
      </w:pPr>
      <w:r>
        <w:t xml:space="preserve">&lt; P &gt; Future studies should focus on longitudinal data analysis to measure the impact of these engineering interventions on public health metrics across the Rhine-Main region.</w:t>
      </w:r>
    </w:p>
    <w:p>
      <w:pPr>
        <w:pStyle w:val="BodyText"/>
      </w:pPr>
      <w:r>
        <w:t xml:space="preserve">&lt; hr/&gt;</w:t>
      </w:r>
      <w:r>
        <w:br/>
      </w:r>
      <w:r>
        <w:t xml:space="preserve">&lt; div style =" font-size :0.8em ; color :#666; "&gt; End of Report - Document generated for internal use in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Germany, Frankfurt</dc:title>
  <dc:creator/>
  <dc:language>en</dc:language>
  <cp:keywords/>
  <dcterms:created xsi:type="dcterms:W3CDTF">2026-07-29T06:52:28Z</dcterms:created>
  <dcterms:modified xsi:type="dcterms:W3CDTF">2026-07-29T06:52:28Z</dcterms:modified>
</cp:coreProperties>
</file>

<file path=docProps/custom.xml><?xml version="1.0" encoding="utf-8"?>
<Properties xmlns="http://schemas.openxmlformats.org/officeDocument/2006/custom-properties" xmlns:vt="http://schemas.openxmlformats.org/officeDocument/2006/docPropsVTypes"/>
</file>