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Biomedical</w:t>
      </w:r>
      <w:r>
        <w:t xml:space="preserve"> </w:t>
      </w:r>
      <w:r>
        <w:t xml:space="preserve">Engineering</w:t>
      </w:r>
      <w:r>
        <w:t xml:space="preserve"> </w:t>
      </w:r>
      <w:r>
        <w:t xml:space="preserve">Analysis</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6d542362696d2688c4a40958f47d8748c6fdfc9"/>
    <w:p>
      <w:pPr>
        <w:pStyle w:val="Heading1"/>
      </w:pPr>
      <w:r>
        <w:t xml:space="preserve">Laboratory Report: Advanced Biomedical Engineering Applications and Challenges in Russia Saint Petersburg</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of Biomedical Systems and Bioelectronics (Affiliate)</w:t>
      </w:r>
      <w:r>
        <w:br/>
      </w:r>
      <w:r>
        <w:rPr>
          <w:bCs/>
          <w:b/>
        </w:rPr>
        <w:t xml:space="preserve">Laboratory Location:</w:t>
      </w:r>
      <w:r>
        <w:t xml:space="preserve"> </w:t>
      </w:r>
      <w:r>
        <w:t xml:space="preserve">Russia Saint Petersburg</w:t>
      </w:r>
      <w:r>
        <w:br/>
      </w:r>
    </w:p>
    <w:bookmarkEnd w:id="20"/>
    <w:bookmarkStart w:id="21" w:name="table-of-contents"/>
    <w:p>
      <w:pPr>
        <w:pStyle w:val="Heading2"/>
      </w:pPr>
      <w:r>
        <w:t xml:space="preserve">Table of Contents</w:t>
      </w:r>
    </w:p>
    <w:p>
      <w:pPr>
        <w:numPr>
          <w:ilvl w:val="0"/>
          <w:numId w:val="1001"/>
        </w:numPr>
        <w:pStyle w:val="Compact"/>
      </w:pPr>
      <w:hyperlink w:anchor="exec-summary">
        <w:r>
          <w:rPr>
            <w:rStyle w:val="Hyperlink"/>
          </w:rPr>
          <w:t xml:space="preserve">Executive Summary</w:t>
        </w:r>
      </w:hyperlink>
    </w:p>
    <w:p>
      <w:pPr>
        <w:numPr>
          <w:ilvl w:val="0"/>
          <w:numId w:val="1001"/>
        </w:numPr>
        <w:pStyle w:val="Compact"/>
      </w:pPr>
      <w:hyperlink w:anchor="introduction">
        <w:r>
          <w:rPr>
            <w:rStyle w:val="Hyperlink"/>
          </w:rPr>
          <w:t xml:space="preserve">Introduction to Biomedical Engineering Context in Russia Saint Petersburg</w:t>
        </w:r>
      </w:hyperlink>
    </w:p>
    <w:p>
      <w:pPr>
        <w:numPr>
          <w:ilvl w:val="0"/>
          <w:numId w:val="1001"/>
        </w:numPr>
        <w:pStyle w:val="Compact"/>
      </w:pPr>
      <w:hyperlink w:anchor="methodology-1">
        <w:r>
          <w:rPr>
            <w:rStyle w:val="Hyperlink"/>
          </w:rPr>
          <w:t xml:space="preserve">Methodology: Medical Device Calibration and Testing</w:t>
        </w:r>
      </w:hyperlink>
    </w:p>
    <w:p>
      <w:pPr>
        <w:numPr>
          <w:ilvl w:val="0"/>
          <w:numId w:val="1001"/>
        </w:numPr>
        <w:pStyle w:val="Compact"/>
      </w:pPr>
      <w:hyperlink w:anchor="results">
        <w:r>
          <w:rPr>
            <w:rStyle w:val="Hyperlink"/>
          </w:rPr>
          <w:t xml:space="preserve">Results and Data Analysis</w:t>
        </w:r>
      </w:hyperlink>
    </w:p>
    <w:p>
      <w:pPr>
        <w:numPr>
          <w:ilvl w:val="0"/>
          <w:numId w:val="1001"/>
        </w:numPr>
        <w:pStyle w:val="Compact"/>
      </w:pPr>
      <w:hyperlink w:anchor="discussion">
        <w:r>
          <w:rPr>
            <w:rStyle w:val="Hyperlink"/>
          </w:rPr>
          <w:t xml:space="preserve">Discussion: Strategic Implications for Russia Saint Petersburg</w:t>
        </w:r>
      </w:hyperlink>
    </w:p>
    <w:p>
      <w:pPr>
        <w:numPr>
          <w:ilvl w:val="0"/>
          <w:numId w:val="1001"/>
        </w:numPr>
        <w:pStyle w:val="Compact"/>
      </w:pPr>
      <w:hyperlink w:anchor="conclusion">
        <w:r>
          <w:rPr>
            <w:rStyle w:val="Hyperlink"/>
          </w:rPr>
          <w:t xml:space="preserve">Conclusion</w:t>
        </w:r>
      </w:hyperlink>
    </w:p>
    <w:p>
      <w:r>
        <w:pict>
          <v:rect style="width:0;height:1.5pt" o:hralign="center" o:hrstd="t" o:hr="t"/>
        </w:pict>
      </w:r>
    </w:p>
    <w:bookmarkEnd w:id="21"/>
    <w:bookmarkStart w:id="22" w:name="exec-summary"/>
    <w:p>
      <w:pPr>
        <w:pStyle w:val="Heading2"/>
      </w:pPr>
      <w:r>
        <w:t xml:space="preserve">1. Executive Summary</w:t>
      </w:r>
    </w:p>
    <w:p>
      <w:pPr>
        <w:pStyle w:val="FirstParagraph"/>
      </w:pPr>
      <w:r>
        <w:t xml:space="preserve">This laboratory report documents the findings of a comprehensive technical assessment conducted within the specialized biomedical engineering facilities located in</w:t>
      </w:r>
      <w:r>
        <w:t xml:space="preserve"> </w:t>
      </w:r>
      <w:r>
        <w:rPr>
          <w:bCs/>
          <w:b/>
        </w:rPr>
        <w:t xml:space="preserve">Russia Saint Petersburg</w:t>
      </w:r>
      <w:r>
        <w:t xml:space="preserve">. The primary objective was to evaluate the efficacy of newly imported diagnostic imaging components against local environmental variables and regulatory standards required by the Federal Service for Surveillance in Healthcare (Roszdravnadzor). The report details specific protocols utilized by a</w:t>
      </w:r>
      <w:r>
        <w:t xml:space="preserve"> </w:t>
      </w:r>
      <w:r>
        <w:rPr>
          <w:bCs/>
          <w:b/>
        </w:rPr>
        <w:t xml:space="preserve">Biomedical Engineer</w:t>
      </w:r>
      <w:r>
        <w:t xml:space="preserve"> </w:t>
      </w:r>
      <w:r>
        <w:t xml:space="preserve">to ensure precision, safety, and compliance. Key findings indicate that while hardware performance remains high, software localization and cold-climate calibration present unique challenges specific to the geographic location of</w:t>
      </w:r>
      <w:r>
        <w:t xml:space="preserve"> </w:t>
      </w:r>
      <w:r>
        <w:rPr>
          <w:bCs/>
          <w:b/>
        </w:rPr>
        <w:t xml:space="preserve">Russia Saint Petersburg</w:t>
      </w:r>
      <w:r>
        <w:t xml:space="preserve">. This document serves as a critical reference for future procurement strategies and maintenance schedules for medical institutions in the region.</w:t>
      </w:r>
    </w:p>
    <w:bookmarkEnd w:id="22"/>
    <w:bookmarkStart w:id="23" w:name="introduction"/>
    <w:p>
      <w:pPr>
        <w:pStyle w:val="Heading2"/>
      </w:pPr>
      <w:r>
        <w:t xml:space="preserve">2. Introduction to Biomedical Engineering Context in Russia Saint Petersburg</w:t>
      </w:r>
    </w:p>
    <w:p>
      <w:pPr>
        <w:pStyle w:val="FirstParagraph"/>
      </w:pPr>
      <w:r>
        <w:t xml:space="preserve">The field of</w:t>
      </w:r>
      <w:r>
        <w:t xml:space="preserve"> </w:t>
      </w:r>
      <w:r>
        <w:rPr>
          <w:bCs/>
          <w:b/>
        </w:rPr>
        <w:t xml:space="preserve">Biomedical Engineering</w:t>
      </w:r>
      <w:r>
        <w:t xml:space="preserve"> </w:t>
      </w:r>
      <w:r>
        <w:t xml:space="preserve">represents a critical intersection between engineering principles and medical sciences, aimed at improving healthcare delivery through technology. In the context of</w:t>
      </w:r>
      <w:r>
        <w:t xml:space="preserve"> </w:t>
      </w:r>
      <w:r>
        <w:rPr>
          <w:bCs/>
          <w:b/>
        </w:rPr>
        <w:t xml:space="preserve">Russia Saint Petersburg</w:t>
      </w:r>
      <w:r>
        <w:t xml:space="preserve">, this discipline operates within a highly sophisticated yet constrained ecosystem. As the second-largest city in Russia and a major scientific hub,</w:t>
      </w:r>
      <w:r>
        <w:t xml:space="preserve"> </w:t>
      </w:r>
      <w:r>
        <w:rPr>
          <w:bCs/>
          <w:b/>
        </w:rPr>
        <w:t xml:space="preserve">Russia Saint Petersburg</w:t>
      </w:r>
      <w:r>
        <w:t xml:space="preserve"> </w:t>
      </w:r>
      <w:r>
        <w:t xml:space="preserve">hosts numerous research institutes and medical centers that require rigorous engineering support.</w:t>
      </w:r>
    </w:p>
    <w:p>
      <w:pPr>
        <w:pStyle w:val="BodyText"/>
      </w:pPr>
      <w:r>
        <w:t xml:space="preserve">The role of the</w:t>
      </w:r>
      <w:r>
        <w:t xml:space="preserve"> </w:t>
      </w:r>
      <w:r>
        <w:rPr>
          <w:bCs/>
          <w:b/>
        </w:rPr>
        <w:t xml:space="preserve">Biomedical Engineer</w:t>
      </w:r>
      <w:r>
        <w:t xml:space="preserve"> </w:t>
      </w:r>
      <w:r>
        <w:t xml:space="preserve">here is multifaceted. Unlike general maintenance technicians, a certified</w:t>
      </w:r>
    </w:p>
    <w:p>
      <w:pPr>
        <w:pStyle w:val="BodyText"/>
      </w:pPr>
      <w:r>
        <w:t xml:space="preserve">Biomedical Engineer</w:t>
      </w:r>
    </w:p>
    <w:p>
      <w:pPr>
        <w:pStyle w:val="BodyText"/>
      </w:pPr>
      <w:r>
        <w:t xml:space="preserve">Russia Saint Petersburg, characterized by high humidity and significant temperature fluctuations between seasons, necessitate specialized engineering approaches to prevent corrosion in sensitive electronic components and ensure the stability of diagnostic equipment such as MRI machines and CT scanners.</w:t>
      </w:r>
    </w:p>
    <w:p>
      <w:pPr>
        <w:pStyle w:val="BodyText"/>
      </w:pPr>
      <w:r>
        <w:t xml:space="preserve">This report aims to provide a detailed account of recent calibration exercises performed on high-frequency ultrasound devices. The study focuses on how environmental factors in</w:t>
      </w:r>
      <w:r>
        <w:t xml:space="preserve"> </w:t>
      </w:r>
      <w:r>
        <w:rPr>
          <w:bCs/>
          <w:b/>
        </w:rPr>
        <w:t xml:space="preserve">Russia Saint Petersburg</w:t>
      </w:r>
      <w:r>
        <w:t xml:space="preserve"> </w:t>
      </w:r>
      <w:r>
        <w:t xml:space="preserve">influence the longitudinal accuracy of these devices and what mitigation strategies are employed by the</w:t>
      </w:r>
      <w:r>
        <w:t xml:space="preserve"> </w:t>
      </w:r>
      <w:r>
        <w:rPr>
          <w:bCs/>
          <w:b/>
        </w:rPr>
        <w:t xml:space="preserve">Biomedical Engineer</w:t>
      </w:r>
      <w:r>
        <w:t xml:space="preserve">.</w:t>
      </w:r>
    </w:p>
    <w:bookmarkEnd w:id="23"/>
    <w:bookmarkStart w:id="26" w:name="methodology-1"/>
    <w:p>
      <w:pPr>
        <w:pStyle w:val="Heading2"/>
      </w:pPr>
      <w:r>
        <w:t xml:space="preserve">3. Methodology: Medical Device Calibration and Testing</w:t>
      </w:r>
    </w:p>
    <w:p>
      <w:pPr>
        <w:pStyle w:val="FirstParagraph"/>
      </w:pPr>
      <w:r>
        <w:t xml:space="preserve">The experimental phase of this lab report was conducted in a controlled environment within the</w:t>
      </w:r>
      <w:r>
        <w:t xml:space="preserve"> </w:t>
      </w:r>
      <w:r>
        <w:rPr>
          <w:bCs/>
          <w:b/>
        </w:rPr>
        <w:t xml:space="preserve">Russia Saint Petersburg</w:t>
      </w:r>
      <w:r>
        <w:t xml:space="preserve"> </w:t>
      </w:r>
      <w:r>
        <w:t xml:space="preserve">biomedical laboratory. The methodology adhered to ISO 13485 standards for quality management in medical devices.</w:t>
      </w:r>
    </w:p>
    <w:bookmarkStart w:id="24" w:name="equipment-setup"/>
    <w:p>
      <w:pPr>
        <w:pStyle w:val="Heading3"/>
      </w:pPr>
      <w:r>
        <w:t xml:space="preserve">3.1 Equipment Setup</w:t>
      </w:r>
    </w:p>
    <w:p>
      <w:pPr>
        <w:pStyle w:val="FirstParagraph"/>
      </w:pPr>
      <w:r>
        <w:t xml:space="preserve">The primary instrument under test was a high-resolution ultrasound diagnostic system (Model: EchoPro X20). A secondary set of tools included a standard acoustic phantom (Gammex 403 GF) and an environmental chamber to simulate the ambient conditions typical of</w:t>
      </w:r>
      <w:r>
        <w:t xml:space="preserve"> </w:t>
      </w:r>
      <w:r>
        <w:rPr>
          <w:bCs/>
          <w:b/>
        </w:rPr>
        <w:t xml:space="preserve">Russia Saint Petersburg</w:t>
      </w:r>
      <w:r>
        <w:t xml:space="preserve">.</w:t>
      </w:r>
    </w:p>
    <w:bookmarkEnd w:id="24"/>
    <w:bookmarkStart w:id="25" w:name="calibration-protocol"/>
    <w:p>
      <w:pPr>
        <w:pStyle w:val="Heading3"/>
      </w:pPr>
      <w:r>
        <w:t xml:space="preserve">3.2 Calibration Protocol</w:t>
      </w:r>
    </w:p>
    <w:p>
      <w:pPr>
        <w:pStyle w:val="FirstParagraph"/>
      </w:pPr>
      <w:r>
        <w:t xml:space="preserve">The</w:t>
      </w:r>
      <w:r>
        <w:t xml:space="preserve"> </w:t>
      </w:r>
      <w:r>
        <w:rPr>
          <w:bCs/>
          <w:b/>
        </w:rPr>
        <w:t xml:space="preserve">Biomedical Engineer</w:t>
      </w:r>
      <w:r>
        <w:t xml:space="preserve"> </w:t>
      </w:r>
      <w:r>
        <w:t xml:space="preserve">performed the following steps:</w:t>
      </w:r>
    </w:p>
    <w:p>
      <w:pPr>
        <w:numPr>
          <w:ilvl w:val="0"/>
          <w:numId w:val="1002"/>
        </w:numPr>
        <w:pStyle w:val="Compact"/>
      </w:pPr>
      <w:r>
        <w:rPr>
          <w:bCs/>
          <w:b/>
        </w:rPr>
        <w:t xml:space="preserve">Ambient Stabilization:</w:t>
      </w:r>
      <w:r>
        <w:t xml:space="preserve">The laboratory temperature was stabilized at 20°C, with humidity controlled at 50%, reflecting standard indoor conditions in</w:t>
      </w:r>
      <w:r>
        <w:t xml:space="preserve"> </w:t>
      </w:r>
      <w:r>
        <w:rPr>
          <w:bCs/>
          <w:b/>
        </w:rPr>
        <w:t xml:space="preserve">Russia Saint Petersburg</w:t>
      </w:r>
      <w:r>
        <w:t xml:space="preserve">.</w:t>
      </w:r>
    </w:p>
    <w:p>
      <w:pPr>
        <w:numPr>
          <w:ilvl w:val="0"/>
          <w:numId w:val="1002"/>
        </w:numPr>
        <w:pStyle w:val="Compact"/>
      </w:pPr>
      <w:r>
        <w:rPr>
          <w:bCs/>
          <w:b/>
        </w:rPr>
        <w:t xml:space="preserve">Acoustic Output Verification:</w:t>
      </w:r>
      <w:r>
        <w:t xml:space="preserve"> </w:t>
      </w:r>
      <w:r>
        <w:t xml:space="preserve">Using the acoustic phantom, the engineer measured the spatial peak temporal average intensity (SPTA) to ensure it remained within safe regulatory limits.</w:t>
      </w:r>
    </w:p>
    <w:p>
      <w:pPr>
        <w:numPr>
          <w:ilvl w:val="0"/>
          <w:numId w:val="1002"/>
        </w:numPr>
        <w:pStyle w:val="Compact"/>
      </w:pPr>
      <w:r>
        <w:rPr>
          <w:bCs/>
          <w:b/>
        </w:rPr>
        <w:t xml:space="preserve">Image Resolution Testing:</w:t>
      </w:r>
      <w:r>
        <w:t xml:space="preserve">A series of line-pair phantoms were imaged to assess axial and lateral resolution. The</w:t>
      </w:r>
      <w:r>
        <w:t xml:space="preserve"> </w:t>
      </w:r>
      <w:r>
        <w:rPr>
          <w:bCs/>
          <w:b/>
        </w:rPr>
        <w:t xml:space="preserve">Biomedical Engineer</w:t>
      </w:r>
      <w:r>
        <w:t xml:space="preserve"> </w:t>
      </w:r>
      <w:r>
        <w:t xml:space="preserve">recorded pixel density variations at different depths.</w:t>
      </w:r>
    </w:p>
    <w:p>
      <w:pPr>
        <w:numPr>
          <w:ilvl w:val="0"/>
          <w:numId w:val="1002"/>
        </w:numPr>
        <w:pStyle w:val="Compact"/>
      </w:pPr>
      <w:r>
        <w:rPr>
          <w:bCs/>
          <w:b/>
        </w:rPr>
        <w:t xml:space="preserve">Digital Interface Audit:</w:t>
      </w:r>
      <w:r>
        <w:t xml:space="preserve">An inspection was conducted on the DICOM interface to ensure data integrity, a crucial step for hospitals in</w:t>
      </w:r>
      <w:r>
        <w:t xml:space="preserve"> </w:t>
      </w:r>
      <w:r>
        <w:rPr>
          <w:bCs/>
          <w:b/>
        </w:rPr>
        <w:t xml:space="preserve">Russia Saint Petersburg</w:t>
      </w:r>
      <w:r>
        <w:t xml:space="preserve"> </w:t>
      </w:r>
      <w:r>
        <w:t xml:space="preserve">integrating new devices with legacy HIS/PACS systems.</w:t>
      </w:r>
    </w:p>
    <w:bookmarkEnd w:id="25"/>
    <w:bookmarkEnd w:id="26"/>
    <w:bookmarkStart w:id="27" w:name="results"/>
    <w:p>
      <w:pPr>
        <w:pStyle w:val="Heading2"/>
      </w:pPr>
      <w:r>
        <w:t xml:space="preserve">4. Results and Data Analysis</w:t>
      </w:r>
    </w:p>
    <w:p>
      <w:pPr>
        <w:pStyle w:val="FirstParagraph"/>
      </w:pPr>
      <w:r>
        <w:t xml:space="preserve">The data collected during the testing phase yielded several significant observations relevant to the operational context of</w:t>
      </w:r>
      <w:r>
        <w:t xml:space="preserve"> </w:t>
      </w:r>
      <w:r>
        <w:rPr>
          <w:bCs/>
          <w:b/>
        </w:rPr>
        <w:t xml:space="preserve">Russia Saint Petersburg</w:t>
      </w:r>
      <w:r>
        <w:t xml:space="preserve">.</w:t>
      </w:r>
    </w:p>
    <w:p>
      <w:pPr>
        <w:pStyle w:val="BodyText"/>
      </w:pPr>
      <w:r>
        <w:t xml:space="preserve">Metric</w:t>
      </w:r>
    </w:p>
    <w:p>
      <w:pPr>
        <w:pStyle w:val="BodyText"/>
      </w:pPr>
      <w:r>
        <w:t xml:space="preserve">Initial Reading (Standard Lab)</w:t>
      </w:r>
    </w:p>
    <w:p>
      <w:pPr>
        <w:pStyle w:val="BodyText"/>
      </w:pPr>
      <w:r>
        <w:t xml:space="preserve">Ambient Condition Reading (</w:t>
      </w:r>
      <w:r>
        <w:rPr>
          <w:iCs/>
          <w:i/>
        </w:rPr>
        <w:t xml:space="preserve">Russia Saint Petersburg</w:t>
      </w:r>
      <w:r>
        <w:t xml:space="preserve">)</w:t>
      </w:r>
    </w:p>
    <w:p>
      <w:pPr>
        <w:pStyle w:val="BodyText"/>
      </w:pPr>
      <w:r>
        <w:rPr>
          <w:bCs/>
          <w:b/>
        </w:rPr>
        <w:t xml:space="preserve">Difference (%)</w:t>
      </w:r>
    </w:p>
    <w:p>
      <w:pPr>
        <w:pStyle w:val="BodyText"/>
      </w:pPr>
      <w:r>
        <w:br/>
      </w:r>
      <w:r>
        <w:t xml:space="preserve">"&gt;0.8%</w:t>
      </w:r>
    </w:p>
    <w:p>
      <w:pPr>
        <w:pStyle w:val="BodyText"/>
      </w:pPr>
      <w:r>
        <w:t xml:space="preserve">/tbody&gt;</w:t>
      </w:r>
    </w:p>
    <w:p>
      <w:pPr>
        <w:pStyle w:val="BodyText"/>
      </w:pPr>
      <w:r>
        <w:t xml:space="preserve">Axial Resolution (mm)</w:t>
      </w:r>
    </w:p>
    <w:p>
      <w:pPr>
        <w:pStyle w:val="BodyText"/>
      </w:pPr>
      <w:r>
        <w:t xml:space="preserve">Spatial Uniformity Error</w:t>
      </w:r>
    </w:p>
    <w:p>
      <w:pPr>
        <w:pStyle w:val="BodyText"/>
      </w:pPr>
      <w:r>
        <w:t xml:space="preserve">Prompt Alarm Response Time (ms)&gt; 1200 ms</w:t>
      </w:r>
    </w:p>
    <w:p>
      <w:pPr>
        <w:pStyle w:val="BodyText"/>
      </w:pPr>
      <w:r>
        <w:t xml:space="preserve">1250 ms</w:t>
      </w:r>
    </w:p>
    <w:p>
      <w:pPr>
        <w:pStyle w:val="BodyText"/>
      </w:pPr>
      <w:r>
        <w:br/>
      </w:r>
      <w:r>
        <w:t xml:space="preserve">"&gt;4.1%</w:t>
      </w:r>
    </w:p>
    <w:p>
      <w:pPr>
        <w:pStyle w:val="BodyText"/>
      </w:pPr>
      <w:r>
        <w:t xml:space="preserve">/tbody&gt;</w:t>
      </w:r>
    </w:p>
    <w:p>
      <w:pPr>
        <w:pStyle w:val="BodyText"/>
      </w:pPr>
      <w:r>
        <w:t xml:space="preserve">Spatial Uniformity Error (%)</w:t>
      </w:r>
    </w:p>
    <w:p>
      <w:pPr>
        <w:pStyle w:val="BodyText"/>
      </w:pPr>
      <w:r>
        <w:t xml:space="preserve">Prompt Alarm Response Time (ms)&gt; 1200 ms</w:t>
      </w:r>
    </w:p>
    <w:p>
      <w:pPr>
        <w:pStyle w:val="BodyText"/>
      </w:pPr>
      <w:r>
        <w:t xml:space="preserve">1250 ms</w:t>
      </w:r>
    </w:p>
    <w:p>
      <w:pPr>
        <w:pStyle w:val="BodyText"/>
      </w:pPr>
      <w:r>
        <w:br/>
      </w:r>
      <w:r>
        <w:t xml:space="preserve">"&gt;4.1%</w:t>
      </w:r>
    </w:p>
    <w:p>
      <w:pPr>
        <w:pStyle w:val="BodyText"/>
      </w:pPr>
      <w:r>
        <w:t xml:space="preserve">The results indicate that while the acoustic resolution remained largely unaffected by the environmental simulation, there was a measurable increase in alarm response latency (4.1% delay). This suggests that digital processing units may experience thermal throttling or signal noise interference under conditions mimicking older building infrastructure common in parts of</w:t>
      </w:r>
      <w:r>
        <w:t xml:space="preserve"> </w:t>
      </w:r>
      <w:r>
        <w:rPr>
          <w:bCs/>
          <w:b/>
        </w:rPr>
        <w:t xml:space="preserve">Russia Saint Petersburg</w:t>
      </w:r>
      <w:r>
        <w:t xml:space="preserve">.</w:t>
      </w:r>
    </w:p>
    <w:bookmarkEnd w:id="27"/>
    <w:bookmarkStart w:id="31" w:name="discussion"/>
    <w:p>
      <w:pPr>
        <w:pStyle w:val="Heading2"/>
      </w:pPr>
      <w:r>
        <w:t xml:space="preserve">5. Discussion: Strategic Implications for Russia Saint Petersburg</w:t>
      </w:r>
    </w:p>
    <w:p>
      <w:pPr>
        <w:pStyle w:val="FirstParagraph"/>
      </w:pPr>
      <w:r>
        <w:t xml:space="preserve">The data presented in this lab report highlights critical operational challenges for the</w:t>
      </w:r>
    </w:p>
    <w:p>
      <w:pPr>
        <w:pStyle w:val="BodyText"/>
      </w:pPr>
      <w:r>
        <w:t xml:space="preserve">Biomedical Engineer</w:t>
      </w:r>
    </w:p>
    <w:p>
      <w:pPr>
        <w:pStyle w:val="BodyText"/>
      </w:pPr>
      <w:r>
        <w:t xml:space="preserve">Russia Saint Petersburg. The observed latency increase is not merely a technical glitch but a systemic issue related to power quality and network infrastructure stability, which are frequent topics of concern for engineering teams in this region.</w:t>
      </w:r>
    </w:p>
    <w:bookmarkStart w:id="28" w:name="the-role-of-the-biomedical-engineer"/>
    <w:p>
      <w:pPr>
        <w:pStyle w:val="Heading3"/>
      </w:pPr>
      <w:r>
        <w:t xml:space="preserve">5.1 The Role of the Biomedical Engineer</w:t>
      </w:r>
    </w:p>
    <w:p>
      <w:pPr>
        <w:pStyle w:val="FirstParagraph"/>
      </w:pPr>
      <w:r>
        <w:t xml:space="preserve">The</w:t>
      </w:r>
      <w:r>
        <w:t xml:space="preserve"> </w:t>
      </w:r>
      <w:r>
        <w:rPr>
          <w:bCs/>
          <w:b/>
        </w:rPr>
        <w:t xml:space="preserve">Biomedical Engineer</w:t>
      </w:r>
      <w:r>
        <w:t xml:space="preserve">'s role extends beyond mere repair. In this context, they act as a liaison between international technology manufacturers and local regulatory bodies. For instance, the 4% delay in alarm response required recalibration software updates that had to be approved by Roszdravnadzor. This bureaucratic step underscores the unique procedural hurdles faced by engineers in</w:t>
      </w:r>
      <w:r>
        <w:t xml:space="preserve"> </w:t>
      </w:r>
      <w:r>
        <w:rPr>
          <w:bCs/>
          <w:b/>
        </w:rPr>
        <w:t xml:space="preserve">Russia Saint Petersburg</w:t>
      </w:r>
      <w:r>
        <w:t xml:space="preserve">.</w:t>
      </w:r>
    </w:p>
    <w:bookmarkEnd w:id="28"/>
    <w:bookmarkStart w:id="29" w:name="environmental-adaptations"/>
    <w:p>
      <w:pPr>
        <w:pStyle w:val="Heading3"/>
      </w:pPr>
      <w:r>
        <w:t xml:space="preserve">5.2 Environmental Adaptations</w:t>
      </w:r>
    </w:p>
    <w:p>
      <w:pPr>
        <w:pStyle w:val="FirstParagraph"/>
      </w:pPr>
      <w:r>
        <w:t xml:space="preserve">The high humidity typical of the Baltic region in</w:t>
      </w:r>
      <w:r>
        <w:t xml:space="preserve"> </w:t>
      </w:r>
      <w:r>
        <w:rPr>
          <w:bCs/>
          <w:b/>
        </w:rPr>
        <w:t xml:space="preserve">Russia Saint Petersburg</w:t>
      </w:r>
      <w:r>
        <w:t xml:space="preserve"> </w:t>
      </w:r>
      <w:r>
        <w:t xml:space="preserve">poses a risk to electronic connectors. The lab report recommends installing dehumidification units directly adjacent to critical imaging suites. Furthermore, the</w:t>
      </w:r>
    </w:p>
    <w:p>
      <w:pPr>
        <w:pStyle w:val="BodyText"/>
      </w:pPr>
      <w:r>
        <w:t xml:space="preserve">Biomedical Engineer</w:t>
      </w:r>
    </w:p>
    <w:p>
      <w:pPr>
        <w:pStyle w:val="BodyText"/>
      </w:pPr>
      <w:r>
        <w:t xml:space="preserve">Russia Saint Petersburg.</w:t>
      </w:r>
    </w:p>
    <w:bookmarkEnd w:id="29"/>
    <w:bookmarkStart w:id="30" w:name="supply-chain-and-localization"/>
    <w:p>
      <w:pPr>
        <w:pStyle w:val="Heading3"/>
      </w:pPr>
      <w:r>
        <w:t xml:space="preserve">5.3 Supply Chain and Localization</w:t>
      </w:r>
    </w:p>
    <w:p>
      <w:pPr>
        <w:pStyle w:val="FirstParagraph"/>
      </w:pPr>
      <w:r>
        <w:t xml:space="preserve">In light of current economic sanctions and supply chain disruptions affecting</w:t>
      </w:r>
    </w:p>
    <w:p>
      <w:pPr>
        <w:pStyle w:val="BodyText"/>
      </w:pPr>
      <w:r>
        <w:t xml:space="preserve">Russia Saint Petersburg</w:t>
      </w:r>
    </w:p>
    <w:p>
      <w:pPr>
        <w:pStyle w:val="BodyText"/>
      </w:pPr>
      <w:r>
        <w:t xml:space="preserve">, self-sufficiency is key. The</w:t>
      </w:r>
    </w:p>
    <w:p>
      <w:pPr>
        <w:pStyle w:val="BodyText"/>
      </w:pPr>
      <w:r>
        <w:t xml:space="preserve">Biomedical Engineer</w:t>
      </w:r>
    </w:p>
    <w:p>
      <w:pPr>
        <w:pStyle w:val="BodyText"/>
      </w:pPr>
      <w:r>
        <w:t xml:space="preserve">Russia Saint Petersburg, reducing dependency on external logistics.</w:t>
      </w:r>
    </w:p>
    <w:bookmarkEnd w:id="30"/>
    <w:bookmarkEnd w:id="31"/>
    <w:bookmarkStart w:id="32" w:name="conclusion"/>
    <w:p>
      <w:pPr>
        <w:pStyle w:val="Heading2"/>
      </w:pPr>
      <w:r>
        <w:t xml:space="preserve">6. Conclusion</w:t>
      </w:r>
    </w:p>
    <w:p>
      <w:pPr>
        <w:pStyle w:val="FirstParagraph"/>
      </w:pPr>
      <w:r>
        <w:t xml:space="preserve">This lab report has demonstrated that biomedical engineering in</w:t>
      </w:r>
    </w:p>
    <w:p>
      <w:pPr>
        <w:pStyle w:val="BodyText"/>
      </w:pPr>
      <w:r>
        <w:t xml:space="preserve">Russia Saint Petersburg</w:t>
      </w:r>
    </w:p>
    <w:p>
      <w:pPr>
        <w:pStyle w:val="BodyText"/>
      </w:pPr>
      <w:r>
        <w:t xml:space="preserve">Biomedical Engineer</w:t>
      </w:r>
    </w:p>
    <w:p>
      <w:pPr>
        <w:pStyle w:val="BodyText"/>
      </w:pPr>
      <w:r>
        <w:t xml:space="preserve">.</w:t>
      </w:r>
    </w:p>
    <w:p>
      <w:pPr>
        <w:pStyle w:val="BodyText"/>
      </w:pPr>
      <w:r>
        <w:t xml:space="preserve">The 4.1% latency observed in alarm systems serves as a warning sign for potential digital bottlenecks. It is recommended that future procurement contracts for hospitals in</w:t>
      </w:r>
    </w:p>
    <w:p>
      <w:pPr>
        <w:pStyle w:val="BodyText"/>
      </w:pPr>
      <w:r>
        <w:t xml:space="preserve">Russia Saint Petersburg</w:t>
      </w:r>
    </w:p>
    <w:p>
      <w:pPr>
        <w:pStyle w:val="BodyText"/>
      </w:pPr>
      <w:r>
        <w:t xml:space="preserve">In summary, the successful implementation of advanced biomedical technologies in</w:t>
      </w:r>
    </w:p>
    <w:p>
      <w:pPr>
        <w:pStyle w:val="BodyText"/>
      </w:pPr>
      <w:r>
        <w:t xml:space="preserve">Russia Saint Petersburg</w:t>
      </w:r>
    </w:p>
    <w:p>
      <w:pPr>
        <w:pStyle w:val="BodyText"/>
      </w:pPr>
      <w:r>
        <w:t xml:space="preserve">Biomedical Engineer</w:t>
      </w:r>
    </w:p>
    <w:p>
      <w:pPr>
        <w:pStyle w:val="BodyText"/>
      </w:pPr>
      <w:r>
        <w:t xml:space="preserve">&lt;. By adhering to strict calibration protocols and adapting to local climatic and infrastructural realities, medical institutions can ensure patient safety and operational efficiency. This document stands as a testament to the rigorous standards maintained by engineering teams in</w:t>
      </w:r>
    </w:p>
    <w:p>
      <w:pPr>
        <w:pStyle w:val="BodyText"/>
      </w:pPr>
      <w:r>
        <w:t xml:space="preserve">Russia Saint Petersburg</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Biomedical Engineering Analysis in Russia Saint Petersburg</dc:title>
  <dc:creator/>
  <dc:language>en</dc:language>
  <cp:keywords/>
  <dcterms:created xsi:type="dcterms:W3CDTF">2026-07-29T18:24:09Z</dcterms:created>
  <dcterms:modified xsi:type="dcterms:W3CDTF">2026-07-29T18:24:09Z</dcterms:modified>
</cp:coreProperties>
</file>

<file path=docProps/custom.xml><?xml version="1.0" encoding="utf-8"?>
<Properties xmlns="http://schemas.openxmlformats.org/officeDocument/2006/custom-properties" xmlns:vt="http://schemas.openxmlformats.org/officeDocument/2006/docPropsVTypes"/>
</file>