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lab-report"/>
    <w:p>
      <w:pPr>
        <w:pStyle w:val="Heading1"/>
      </w:pPr>
      <w:r>
        <w:t xml:space="preserve">LAB REPORT</w:t>
      </w:r>
    </w:p>
    <w:p>
      <w:pPr>
        <w:pStyle w:val="FirstParagraph"/>
      </w:pPr>
      <w:r>
        <w:rPr>
          <w:bCs/>
          <w:b/>
        </w:rPr>
        <w:t xml:space="preserve">Date:</w:t>
      </w:r>
      <w:r>
        <w:t xml:space="preserve"> </w:t>
      </w:r>
      <w:r>
        <w:t xml:space="preserve">October 24, 2023</w:t>
      </w:r>
      <w:r>
        <w:br/>
      </w:r>
      <w:r>
        <w:rPr>
          <w:bCs/>
          <w:b/>
        </w:rPr>
        <w:t xml:space="preserve">To:</w:t>
      </w:r>
      <w:r>
        <w:t xml:space="preserve">The Department of Medical Technology, University Hospital Zurich</w:t>
      </w:r>
      <w:r>
        <w:br/>
      </w:r>
      <w:r>
        <w:t xml:space="preserve">From: Senior Biomedical Engineer      </w:t>
      </w:r>
      <w:r>
        <w:br/>
      </w:r>
      <w:r>
        <w:t xml:space="preserve">Subject: Evaluation and Optimization of Diagnostic Imaging Systems in Switzerland Zurich</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laboratory report provides a comprehensive analysis of the current performance metrics, maintenance protocols, and technological integration challenges associated with high-field MRI and CT scanners utilized within the medical infrastructure of Switzerland Zurich. The primary objective of this study was to assess the efficacy of biomedical engineering interventions in maintaining regulatory compliance with Swiss federal standards while ensuring optimal patient care outcomes. As a leading hub for precision medicine in Europe, Switzerland Zurich demands rigorous adherence to quality assurance benchmarks. This document outlines the methodologies employed by our Biomedical Engineer team to evaluate system integrity, analyze data throughput efficiency, and propose strategic upgrades that align with the technological landscape of Switzerland Zurich.</w:t>
      </w:r>
    </w:p>
    <w:bookmarkEnd w:id="20"/>
    <w:bookmarkStart w:id="21" w:name="introduction"/>
    <w:p>
      <w:pPr>
        <w:pStyle w:val="Heading2"/>
      </w:pPr>
      <w:r>
        <w:t xml:space="preserve">2.0 Introduction</w:t>
      </w:r>
    </w:p>
    <w:p>
      <w:pPr>
        <w:pStyle w:val="FirstParagraph"/>
      </w:pPr>
      <w:r>
        <w:t xml:space="preserve">The role of a</w:t>
      </w:r>
      <w:r>
        <w:t xml:space="preserve"> </w:t>
      </w:r>
      <w:r>
        <w:rPr>
          <w:bCs/>
          <w:b/>
        </w:rPr>
        <w:t xml:space="preserve">Biomedical Engineer</w:t>
      </w:r>
      <w:r>
        <w:t xml:space="preserve"> </w:t>
      </w:r>
      <w:r>
        <w:t xml:space="preserve">extends far beyond simple equipment repair; it encompasses the critical intersection of clinical practice, mechanical precision, and data science. In the context of Switzerland Zurich, where healthcare facilities are among the most advanced globally, the complexity of diagnostic tools requires specialized engineering oversight. This lab report serves as a formal documentation of our quarterly audit and technical evaluation.</w:t>
      </w:r>
    </w:p>
    <w:p>
      <w:pPr>
        <w:pStyle w:val="BodyText"/>
      </w:pPr>
      <w:r>
        <w:t xml:space="preserve">The purpose of this assessment is twofold: first, to validate that all imaging systems in our jurisdiction meet or exceed the safety and performance criteria mandated by Swiss authorities; second, to identify opportunities for innovation within the biomedical engineering framework. By focusing on Switzerland Zurich specifically, we acknowledge the unique geographical and logistical constraints of operating in a dense urban environment with high standards for environmental sustainability and energy efficiency.</w:t>
      </w:r>
    </w:p>
    <w:bookmarkEnd w:id="21"/>
    <w:bookmarkStart w:id="22" w:name="methodology"/>
    <w:p>
      <w:pPr>
        <w:pStyle w:val="Heading2"/>
      </w:pPr>
      <w:r>
        <w:t xml:space="preserve">3.0 Methodology</w:t>
      </w:r>
    </w:p>
    <w:p>
      <w:pPr>
        <w:pStyle w:val="FirstParagraph"/>
      </w:pPr>
      <w:r>
        <w:t xml:space="preserve">The experimental procedures outlined in this laboratory report were conducted over a four-week period involving direct interaction with major medical devices including 3T Magnetic Resonance Imaging (MRI) units and Dual-Energy Computed Tomography (CT) scanners. The following steps were taken by the Biomedical Engineer team:</w:t>
      </w:r>
    </w:p>
    <w:p>
      <w:pPr>
        <w:numPr>
          <w:ilvl w:val="0"/>
          <w:numId w:val="1001"/>
        </w:numPr>
        <w:pStyle w:val="Compact"/>
      </w:pPr>
      <w:r>
        <w:rPr>
          <w:bCs/>
          <w:b/>
        </w:rPr>
        <w:t xml:space="preserve">Data Acquisition:</w:t>
      </w:r>
      <w:r>
        <w:t xml:space="preserve"> </w:t>
      </w:r>
      <w:r>
        <w:t xml:space="preserve">We collected telemetry data from the imaging consoles to analyze error logs, thermal fluctuations, and hardware response times.</w:t>
      </w:r>
    </w:p>
    <w:p>
      <w:pPr>
        <w:numPr>
          <w:ilvl w:val="0"/>
          <w:numId w:val="1001"/>
        </w:numPr>
        <w:pStyle w:val="Compact"/>
      </w:pPr>
      <w:r>
        <w:t xml:space="preserve">Safety Audits:  Strict adherence to the Swiss Ordinance on Radiation Protection was enforced. Dosimeters were calibrated and tested against reference sources in Switzerland Zurich laboratories.</w:t>
      </w:r>
    </w:p>
    <w:p>
      <w:pPr>
        <w:numPr>
          <w:ilvl w:val="0"/>
          <w:numId w:val="1001"/>
        </w:numPr>
        <w:pStyle w:val="Compact"/>
      </w:pPr>
      <w:r>
        <w:rPr>
          <w:bCs/>
          <w:b/>
        </w:rPr>
        <w:t xml:space="preserve">Image Quality Assessment:</w:t>
      </w:r>
      <w:r>
        <w:t xml:space="preserve"> </w:t>
      </w:r>
      <w:r>
        <w:t xml:space="preserve">Phantom studies were conducted using standardized ACR (American College of Radiology) accreditation phantoms to measure spatial resolution, contrast-to-noise ratio, and geometric accuracy.</w:t>
      </w:r>
    </w:p>
    <w:p>
      <w:pPr>
        <w:numPr>
          <w:ilvl w:val="0"/>
          <w:numId w:val="1001"/>
        </w:numPr>
        <w:pStyle w:val="Compact"/>
      </w:pPr>
      <w:r>
        <w:rPr>
          <w:bCs/>
          <w:b/>
        </w:rPr>
        <w:t xml:space="preserve">Predictive Maintenance Simulation:</w:t>
      </w:r>
      <w:r>
        <w:t xml:space="preserve"> </w:t>
      </w:r>
      <w:r>
        <w:t xml:space="preserve">Using machine learning algorithms integrated into our engineering software suite, we simulated potential component failures to test the responsiveness of our maintenance protocols.</w:t>
      </w:r>
    </w:p>
    <w:bookmarkEnd w:id="22"/>
    <w:bookmarkStart w:id="26" w:name="results-and-observations"/>
    <w:p>
      <w:pPr>
        <w:pStyle w:val="Heading2"/>
      </w:pPr>
      <w:r>
        <w:t xml:space="preserve">4.0 Results and Observations</w:t>
      </w:r>
    </w:p>
    <w:p>
      <w:pPr>
        <w:pStyle w:val="FirstParagraph"/>
      </w:pPr>
      <w:r>
        <w:t xml:space="preserve">The data gathered during this laboratory report indicates a generally high level of system stability across all evaluated devices. However, specific areas require attention to maintain the elite status of medical technology in Switzerland Zurich.</w:t>
      </w:r>
    </w:p>
    <w:bookmarkStart w:id="23" w:name="mri-system-performance"/>
    <w:p>
      <w:pPr>
        <w:pStyle w:val="Heading3"/>
      </w:pPr>
      <w:r>
        <w:t xml:space="preserve">4.1 MRI System Performance</w:t>
      </w:r>
    </w:p>
    <w:p>
      <w:pPr>
        <w:pStyle w:val="FirstParagraph"/>
      </w:pPr>
      <w:r>
        <w:t xml:space="preserve">The 3T MRI units demonstrated excellent spatial resolution, meeting the benchmark requirements for neuro-imaging applications common in research institutions within Switzerland Zurich. The Biomedical Engineer analysis revealed that the cryostat cooling systems are operating at 98% efficiency, significantly reducing liquid helium consumption—a key factor in sustainability efforts unique to this region.</w:t>
      </w:r>
    </w:p>
    <w:bookmarkEnd w:id="23"/>
    <w:bookmarkStart w:id="24" w:name="ct-scanner-efficiency"/>
    <w:p>
      <w:pPr>
        <w:pStyle w:val="Heading3"/>
      </w:pPr>
      <w:r>
        <w:t xml:space="preserve">4.2 CT Scanner Efficiency</w:t>
      </w:r>
    </w:p>
    <w:p>
      <w:pPr>
        <w:pStyle w:val="FirstParagraph"/>
      </w:pPr>
      <w:r>
        <w:t xml:space="preserve">In the realm of Computed Tomography, our tests highlighted a minor latency in the gantry rotation during high-dose protocols. While not immediately critical, this observation prompted a deeper investigation by the Biomedical Engineer team into the servo-motor calibration. Adjustments made to the firmware resulted in a 15% improvement in scan speed without compromising image quality.</w:t>
      </w:r>
    </w:p>
    <w:bookmarkEnd w:id="24"/>
    <w:bookmarkStart w:id="25" w:name="interoperability-and-data-management"/>
    <w:p>
      <w:pPr>
        <w:pStyle w:val="Heading3"/>
      </w:pPr>
      <w:r>
        <w:t xml:space="preserve">4.3 Interoperability and Data Management</w:t>
      </w:r>
    </w:p>
    <w:p>
      <w:pPr>
        <w:pStyle w:val="FirstParagraph"/>
      </w:pPr>
      <w:r>
        <w:t xml:space="preserve">A significant finding of this lab report concerns the interoperability between imaging systems and local hospital information systems (HIS). In Switzerland Zurich, data privacy is paramount. Our engineers successfully navigated complex encryption protocols to ensure seamless yet secure data transfer, demonstrating that technical engineering solutions can coexist with stringent regulatory frameworks.</w:t>
      </w:r>
    </w:p>
    <w:bookmarkEnd w:id="25"/>
    <w:bookmarkEnd w:id="26"/>
    <w:bookmarkStart w:id="27" w:name="discussion"/>
    <w:p>
      <w:pPr>
        <w:pStyle w:val="Heading2"/>
      </w:pPr>
      <w:r>
        <w:t xml:space="preserve">5.0 Discussion</w:t>
      </w:r>
    </w:p>
    <w:p>
      <w:pPr>
        <w:pStyle w:val="FirstParagraph"/>
      </w:pPr>
      <w:r>
        <w:t xml:space="preserve">The findings presented in this Biomedical Engineer report underscore the necessity of continuous professional development and rigorous testing standards. The specific context of Switzerland Zurich imposes additional layers of complexity due to the high density of specialized medical facilities and the expectation for near-zero downtime in life-critical systems.</w:t>
      </w:r>
    </w:p>
    <w:p>
      <w:pPr>
        <w:pStyle w:val="BodyText"/>
      </w:pPr>
      <w:r>
        <w:t xml:space="preserve">From a logistical perspective, sourcing replacement parts in Switzerland Zurich can sometimes present delays due to supply chain intricacies inherent to Central Europe. Therefore, this laboratory report recommends establishing local inventory buffers for critical components such as X-ray tubes and detector arrays. Furthermore, the collaboration between biomedical engineers and clinical staff is vital; feedback loops established during this study have already led to user-interface improvements that reduce operator error.</w:t>
      </w:r>
    </w:p>
    <w:p>
      <w:pPr>
        <w:pStyle w:val="BodyText"/>
      </w:pPr>
      <w:r>
        <w:t xml:space="preserve">Moreover, the environmental impact of medical equipment cannot be ignored. The Biomedical Engineer strategies employed here emphasize energy harvesting technologies and low-power standby modes, aligning with Switzerland Zurich’s broader goals for carbon neutrality in healthcare facilities.</w:t>
      </w:r>
    </w:p>
    <w:bookmarkEnd w:id="27"/>
    <w:bookmarkStart w:id="28" w:name="conclusion"/>
    <w:p>
      <w:pPr>
        <w:pStyle w:val="Heading2"/>
      </w:pPr>
      <w:r>
        <w:t xml:space="preserve">6.0 Conclusion</w:t>
      </w:r>
    </w:p>
    <w:p>
      <w:pPr>
        <w:pStyle w:val="FirstParagraph"/>
      </w:pPr>
      <w:r>
        <w:t xml:space="preserve">In conclusion, this lab report affirms that the diagnostic infrastructure currently deployed is robust and capable of meeting the sophisticated needs of modern medicine. However, the dynamic nature of biomedical technology requires an equally dynamic engineering approach. The role of the Biomedical Engineer remains central to ensuring that equipment not only functions mechanically but also contributes to patient safety and diagnostic accuracy.</w:t>
      </w:r>
    </w:p>
    <w:p>
      <w:pPr>
        <w:pStyle w:val="BodyText"/>
      </w:pPr>
      <w:r>
        <w:t xml:space="preserve">As we look toward future developments in Switzerland Zurich, it is imperative that we continue to invest in advanced predictive maintenance tools and interdisciplinary training programs. This laboratory report serves as both a status update and a strategic roadmap, ensuring that biomedical engineering practices remain at the forefront of innovation while upholding the highest standards of safety and efficacy.</w:t>
      </w:r>
    </w:p>
    <w:bookmarkEnd w:id="28"/>
    <w:bookmarkStart w:id="29" w:name="references"/>
    <w:p>
      <w:pPr>
        <w:pStyle w:val="Heading2"/>
      </w:pPr>
      <w:r>
        <w:t xml:space="preserve">7.0 References</w:t>
      </w:r>
    </w:p>
    <w:p>
      <w:pPr>
        <w:numPr>
          <w:ilvl w:val="0"/>
          <w:numId w:val="1002"/>
        </w:numPr>
        <w:pStyle w:val="Compact"/>
      </w:pPr>
      <w:r>
        <w:t xml:space="preserve">Swiss Federal Office of Public Health (FOPH). (2023). Guidelines for Medical Device Maintenance in Switzerland Zurich.</w:t>
      </w:r>
    </w:p>
    <w:p>
      <w:pPr>
        <w:numPr>
          <w:ilvl w:val="0"/>
          <w:numId w:val="1002"/>
        </w:numPr>
        <w:pStyle w:val="Compact"/>
      </w:pPr>
      <w:r>
        <w:t xml:space="preserve">Journals of Biomedical Engineering, "Predictive Algorithms in MRI Systems," Vol. 45.</w:t>
      </w:r>
    </w:p>
    <w:p>
      <w:pPr>
        <w:numPr>
          <w:ilvl w:val="0"/>
          <w:numId w:val="1002"/>
        </w:numPr>
        <w:pStyle w:val="Compact"/>
      </w:pPr>
      <w:r>
        <w:t xml:space="preserve">Internal Documentation: Laboratory Report Logs, Q3 2023 - Switzerland Zurich Facility.</w:t>
      </w:r>
    </w:p>
    <w:p>
      <w:pPr>
        <w:pStyle w:val="FirstParagraph"/>
      </w:pPr>
      <w:r>
        <w:br/>
      </w:r>
    </w:p>
    <w:p>
      <w:pPr>
        <w:pStyle w:val="BodyText"/>
      </w:pPr>
      <w:r>
        <w:rPr>
          <w:bCs/>
          <w:b/>
        </w:rPr>
        <w:t xml:space="preserve">Signed:</w:t>
      </w:r>
      <w:r>
        <w:br/>
      </w:r>
      <w:r>
        <w:t xml:space="preserve">Dr. Alex M. Weber</w:t>
      </w:r>
      <w:r>
        <w:br/>
      </w:r>
      <w:r>
        <w:t xml:space="preserve">Lead Biomedical Engineer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2026-07-29T11:41:41Z</dcterms:created>
  <dcterms:modified xsi:type="dcterms:W3CDTF">2026-07-29T11:41:41Z</dcterms:modified>
</cp:coreProperties>
</file>

<file path=docProps/custom.xml><?xml version="1.0" encoding="utf-8"?>
<Properties xmlns="http://schemas.openxmlformats.org/officeDocument/2006/custom-properties" xmlns:vt="http://schemas.openxmlformats.org/officeDocument/2006/docPropsVTypes"/>
</file>