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laboratory-research-report"/>
    <w:p>
      <w:pPr>
        <w:pStyle w:val="Heading1"/>
      </w:pPr>
      <w:r>
        <w:t xml:space="preserve">Laboratory Research Report</w:t>
      </w:r>
    </w:p>
    <w:p>
      <w:pPr>
        <w:pStyle w:val="FirstParagraph"/>
      </w:pPr>
      <w:r>
        <w:rPr>
          <w:bCs/>
          <w:b/>
        </w:rPr>
        <w:t xml:space="preserve">Degree:</w:t>
      </w:r>
      <w:r>
        <w:t xml:space="preserve"> </w:t>
      </w:r>
      <w:r>
        <w:t xml:space="preserve">Master of Science in Biomedical Engineering</w:t>
      </w:r>
    </w:p>
    <w:p>
      <w:pPr>
        <w:pStyle w:val="BodyText"/>
      </w:pPr>
      <w:r>
        <w:rPr>
          <w:bCs/>
          <w:b/>
        </w:rPr>
        <w:t xml:space="preserve">Institution:</w:t>
      </w:r>
      <w:r>
        <w:t xml:space="preserve"> </w:t>
      </w:r>
      <w:r>
        <w:t xml:space="preserve">University of Birmingham, United Kingdom</w:t>
      </w:r>
    </w:p>
    <w:bookmarkEnd w:id="20"/>
    <w:p>
      <w:pPr>
        <w:pStyle w:val="BodyText"/>
      </w:pPr>
      <w:r>
        <w:rPr>
          <w:bCs/>
          <w:b/>
        </w:rPr>
        <w:t xml:space="preserve">Date:</w:t>
      </w:r>
      <w:r>
        <w:t xml:space="preserve"> </w:t>
      </w:r>
      <w:r>
        <w:t xml:space="preserve">October 24, 2023</w:t>
      </w:r>
    </w:p>
    <w:p>
      <w:pPr>
        <w:pStyle w:val="BodyText"/>
      </w:pPr>
      <w:r>
        <w:rPr>
          <w:bCs/>
          <w:b/>
        </w:rPr>
        <w:t xml:space="preserve">Title:</w:t>
      </w:r>
      <w:r>
        <w:t xml:space="preserve"> </w:t>
      </w:r>
      <w:r>
        <w:t xml:space="preserve">Comparative Analysis of Implantable Sensor Durability in High-Frequency Electromagnetic Environments: A Biomedical Engineer’s Perspective</w:t>
      </w:r>
    </w:p>
    <w:p>
      <w:pPr>
        <w:pStyle w:val="BodyText"/>
      </w:pPr>
      <w:r>
        <w:rPr>
          <w:bCs/>
          <w:b/>
        </w:rPr>
        <w:t xml:space="preserve">Laboratory Location:</w:t>
      </w:r>
      <w:r>
        <w:t xml:space="preserve"> </w:t>
      </w:r>
      <w:r>
        <w:t xml:space="preserve">Advanced Materials and Biomedical Engineering Lab, Birmingham City Centre, United Kingdom</w:t>
      </w:r>
    </w:p>
    <w:p>
      <w:pPr>
        <w:pStyle w:val="BodyText"/>
      </w:pPr>
      <w:r>
        <w:rPr>
          <w:bCs/>
          <w:b/>
        </w:rPr>
        <w:t xml:space="preserve">Principal Investigator:</w:t>
      </w:r>
      <w:r>
        <w:t xml:space="preserve"> </w:t>
      </w:r>
      <w:r>
        <w:t xml:space="preserve">Dr. Eleanor Vance, Senior Biomedical Engineer</w:t>
      </w:r>
    </w:p>
    <w:bookmarkStart w:id="21" w:name="a1.-abstract"/>
    <w:p>
      <w:pPr>
        <w:pStyle w:val="Heading2"/>
      </w:pPr>
      <w:r>
        <w:t xml:space="preserve">A1. Abstract</w:t>
      </w:r>
    </w:p>
    <w:p>
      <w:pPr>
        <w:pStyle w:val="FirstParagraph"/>
      </w:pPr>
      <w:r>
        <w:t xml:space="preserve">The primary objective of this laboratory study was to evaluate the structural integrity and signal fidelity of next-generation polymer-based biosensors under simulated physiological stress conditions. Conducted within the specialized facilities in United Kingdom Birmingham, this research addresses a critical gap in current biomedical engineering practices regarding long-term implant stability. As a Biomedical Engineer, it is imperative to bridge the gap between theoretical material science and practical clinical application. The results indicate that novel composite materials exhibit a 15% increase in durability compared to standard silicone controls when exposed to repeated thermal cycling and saline immersion protocols consistent with human body temperature fluctuations. These findings have significant implications for patient care in the United Kingdom's National Health Service (NHS) and contribute to the growing reputation of Birmingham as a hub for biomedical innovation.</w:t>
      </w:r>
    </w:p>
    <w:bookmarkEnd w:id="21"/>
    <w:bookmarkStart w:id="22" w:name="a2.-introduction"/>
    <w:p>
      <w:pPr>
        <w:pStyle w:val="Heading2"/>
      </w:pPr>
      <w:r>
        <w:t xml:space="preserve">A2. Introduction</w:t>
      </w:r>
    </w:p>
    <w:p>
      <w:pPr>
        <w:pStyle w:val="FirstParagraph"/>
      </w:pPr>
      <w:r>
        <w:t xml:space="preserve">Birmingham has established itself as a pivotal center for medical research and technological advancement within the United Kingdom. The convergence of academic institutions, such as the University of Birmingham, with leading healthcare providers like the Queen Elizabeth Hospital Birmingham (QEHB) creates a unique ecosystem for translational research. Within this context, the role of the Biomedical Engineer extends beyond mere product design; it encompasses rigorous testing protocols to ensure patient safety and regulatory compliance with bodies such as the Medicines and Healthcare products Regulatory Agency (MHRA).</w:t>
      </w:r>
    </w:p>
    <w:p>
      <w:pPr>
        <w:pStyle w:val="BodyText"/>
      </w:pPr>
      <w:r>
        <w:t xml:space="preserve">The specific problem addressed in this lab report involves signal degradation in implantable glucose monitoring sensors. While these devices offer immense potential for managing diabetes, their longevity is often compromised by biofouling and mechanical fatigue at the tissue-implant interface. This experiment aims to simulate five years of physiological usage within a condensed laboratory timeframe to predict long-term performance.</w:t>
      </w:r>
    </w:p>
    <w:bookmarkEnd w:id="22"/>
    <w:bookmarkStart w:id="25" w:name="a3.-methodology"/>
    <w:p>
      <w:pPr>
        <w:pStyle w:val="Heading2"/>
      </w:pPr>
      <w:r>
        <w:t xml:space="preserve">A3. Methodology</w:t>
      </w:r>
    </w:p>
    <w:bookmarkStart w:id="23" w:name="materials-and-equipment"/>
    <w:p>
      <w:pPr>
        <w:pStyle w:val="Heading3"/>
      </w:pPr>
      <w:r>
        <w:t xml:space="preserve">3.1 Materials and Equipment</w:t>
      </w:r>
    </w:p>
    <w:p>
      <w:pPr>
        <w:pStyle w:val="FirstParagraph"/>
      </w:pPr>
      <w:r>
        <w:t xml:space="preserve">All experiments were conducted in the cleanroom facility located in Birmingham, adhering to ISO Class 7 standards. The following equipment was utilized:</w:t>
      </w:r>
    </w:p>
    <w:p>
      <w:pPr>
        <w:numPr>
          <w:ilvl w:val="0"/>
          <w:numId w:val="1001"/>
        </w:numPr>
        <w:pStyle w:val="Compact"/>
      </w:pPr>
      <w:r>
        <w:t xml:space="preserve">Polydimethylsiloxane (PDMS) control sensors.</w:t>
      </w:r>
    </w:p>
    <w:p>
      <w:pPr>
        <w:numPr>
          <w:ilvl w:val="0"/>
          <w:numId w:val="1001"/>
        </w:numPr>
        <w:pStyle w:val="Compact"/>
      </w:pPr>
      <w:r>
        <w:t xml:space="preserve">Newly synthesized Polyurethane-Epoxy composite sensors.</w:t>
      </w:r>
    </w:p>
    <w:p>
      <w:pPr>
        <w:numPr>
          <w:ilvl w:val="0"/>
          <w:numId w:val="1001"/>
        </w:numPr>
        <w:pStyle w:val="Compact"/>
      </w:pPr>
      <w:r>
        <w:t xml:space="preserve">Servo-controlled thermal cycling chambers calibrated to mimic core body temperature variations (36.5°C – 37.5°C).</w:t>
      </w:r>
    </w:p>
    <w:p>
      <w:pPr>
        <w:numPr>
          <w:ilvl w:val="0"/>
          <w:numId w:val="1001"/>
        </w:numPr>
        <w:pStyle w:val="Compact"/>
      </w:pPr>
      <w:r>
        <w:t xml:space="preserve">PBS (Phosphate Buffered Saline) solution at physiological pH levels.</w:t>
      </w:r>
    </w:p>
    <w:bookmarkEnd w:id="23"/>
    <w:bookmarkStart w:id="24" w:name="experimental-procedure"/>
    <w:p>
      <w:pPr>
        <w:pStyle w:val="Heading3"/>
      </w:pPr>
      <w:r>
        <w:t xml:space="preserve">3.2 Experimental Procedure</w:t>
      </w:r>
    </w:p>
    <w:p>
      <w:pPr>
        <w:pStyle w:val="FirstParagraph"/>
      </w:pPr>
      <w:r>
        <w:t xml:space="preserve">The Biomedical Engineer team prepared two sets of sensor arrays: a control group (n=20) and an experimental group (n=20). Both groups were immersed in PBS solution at 37°C. The thermal cycling chamber was programmed to simulate daily activity cycles, oscillating temperatures every 12 hours.</w:t>
      </w:r>
    </w:p>
    <w:p>
      <w:pPr>
        <w:pStyle w:val="BodyText"/>
      </w:pPr>
      <w:r>
        <w:t xml:space="preserve">Signal integrity was measured using a custom-built impedance analyzer connected to data acquisition software. Measurements were taken at baseline, week one (equivalent to approx. six months in vivo), month three (approx. two years in vivo), and month six (simulated five-year lifespan). Any failure in electrical continuity or deviation of sensitivity greater than 5% from the baseline was recorded as a point of failure.</w:t>
      </w:r>
    </w:p>
    <w:bookmarkEnd w:id="24"/>
    <w:bookmarkEnd w:id="25"/>
    <w:bookmarkStart w:id="27" w:name="a4.-results"/>
    <w:p>
      <w:pPr>
        <w:pStyle w:val="Heading2"/>
      </w:pPr>
      <w:r>
        <w:t xml:space="preserve">A4. Results</w:t>
      </w:r>
    </w:p>
    <w:p>
      <w:pPr>
        <w:pStyle w:val="FirstParagraph"/>
      </w:pPr>
      <w:r>
        <w:t xml:space="preserve">Data collected from the laboratory tests were analyzed for statistical significance. The following table summarizes the performance metrics after six months of accelerated aging simulation: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PDMS Control Group</w:t>
            </w:r>
          </w:p>
        </w:tc>
        <w:tc>
          <w:tcPr/>
          <w:p>
            <w:pPr>
              <w:pStyle w:val="Compact"/>
              <w:jc w:val="left"/>
            </w:pPr>
            <w:r>
              <w:t xml:space="preserve">Polyurethane-Epoxy Experimental Group</w:t>
            </w:r>
          </w:p>
        </w:tc>
      </w:tr>
      <w:tr>
        <w:tc>
          <w:tcPr/>
          <w:p>
            <w:pPr>
              <w:pStyle w:val="Compact"/>
              <w:jc w:val="left"/>
            </w:pPr>
            <w:r>
              <w:t xml:space="preserve">Average Sensitivity Drift (%)</w:t>
            </w:r>
          </w:p>
        </w:tc>
        <w:tc>
          <w:tcPr/>
          <w:p>
            <w:pPr>
              <w:pStyle w:val="Compact"/>
              <w:jc w:val="left"/>
            </w:pPr>
            <w:r>
              <w:t xml:space="preserve">+8.4%</w:t>
            </w:r>
          </w:p>
        </w:tc>
        <w:tc>
          <w:tcPr/>
          <w:p>
            <w:pPr>
              <w:pStyle w:val="Compact"/>
              <w:jc w:val="left"/>
            </w:pPr>
            <w:r>
              <w:t xml:space="preserve">+3.1%</w:t>
            </w:r>
          </w:p>
        </w:tc>
      </w:tr>
      <w:tr>
        <w:tc>
          <w:tcPr/>
          <w:p>
            <w:pPr>
              <w:pStyle w:val="Compact"/>
              <w:jc w:val="left"/>
            </w:pPr>
            <w:r>
              <w:t xml:space="preserve">Mechanical Fatigue Score (0-10)</w:t>
            </w:r>
          </w:p>
        </w:tc>
        <w:tc>
          <w:tcPr/>
          <w:p>
            <w:pPr>
              <w:pStyle w:val="Compact"/>
              <w:jc w:val="left"/>
            </w:pPr>
            <w:r>
              <w:t xml:space="preserve">TREMENDOUS FAILURE RATE OBSERVED IN CONTROL GROUP AT WEEK 4.</w:t>
            </w:r>
          </w:p>
        </w:tc>
        <w:tc>
          <w:tcPr/>
          <w:p>
            <w:pPr>
              <w:pStyle w:val="Compact"/>
              <w:jc w:val="left"/>
            </w:pPr>
            <w:r>
              <w:t xml:space="preserve">SUSTAINED STRUCTURAL INTEGRITY THROUGHOUT TEST PERIOD.</w:t>
            </w:r>
          </w:p>
        </w:tc>
      </w:tr>
      <w:tr>
        <w:tc>
          <w:tcPr/>
          <w:p>
            <w:pPr>
              <w:pStyle w:val="Compact"/>
              <w:jc w:val="left"/>
            </w:pPr>
            <w:r>
              <w:t xml:space="preserve">Biofouling Accumulation (mg/cm²)</w:t>
            </w:r>
          </w:p>
        </w:tc>
        <w:tc>
          <w:tcPr/>
          <w:p>
            <w:pPr>
              <w:pStyle w:val="Compact"/>
              <w:jc w:val="left"/>
            </w:pPr>
            <w:r>
              <w:t xml:space="preserve">TREMENDOUS FAILURE RATE OBSERVED IN CONTROL GROUP AT WEEK 4.SUSTAINED STRUCTURAL INTEGRITY THROUGHOUT TEST PERIOD.</w:t>
            </w:r>
          </w:p>
        </w:tc>
        <w:tc>
          <w:tcPr/>
          <w:p>
            <w:pPr>
              <w:pStyle w:val="Compact"/>
            </w:pPr>
          </w:p>
        </w:tc>
      </w:tr>
    </w:tbl>
    <w:bookmarkStart w:id="26" w:name="data-analysis-notes"/>
    <w:p>
      <w:pPr>
        <w:pStyle w:val="Heading3"/>
      </w:pPr>
      <w:r>
        <w:t xml:space="preserve">Data Analysis Notes:</w:t>
      </w:r>
    </w:p>
    <w:p>
      <w:pPr>
        <w:pStyle w:val="FirstParagraph"/>
      </w:pPr>
      <w:r>
        <w:t xml:space="preserve">The data clearly demonstrates that the experimental composite material significantly outperforms the standard PDMS controls. The "Tremendous" failure rate in the control group serves as a critical warning for current industry standards. This is not merely academic; it reflects real-world scenarios where patients in Birmingham and across the United Kingdom may require frequent sensor replacements due to device failure.</w:t>
      </w:r>
    </w:p>
    <w:bookmarkEnd w:id="26"/>
    <w:bookmarkEnd w:id="27"/>
    <w:bookmarkStart w:id="28" w:name="a5.-discussion"/>
    <w:p>
      <w:pPr>
        <w:pStyle w:val="Heading2"/>
      </w:pPr>
      <w:r>
        <w:t xml:space="preserve">A5. Discussion</w:t>
      </w:r>
    </w:p>
    <w:p>
      <w:pPr>
        <w:pStyle w:val="FirstParagraph"/>
      </w:pPr>
      <w:r>
        <w:t xml:space="preserve">The findings from this laboratory session highlight the urgent need for material innovation in biomedical devices. As a Biomedical Engineer operating within the UK healthcare framework, one must consider not only technical performance but also economic efficiency and patient quality of life. The high failure rate of the control group suggests that current materials may be insufficient for long-term implantation, leading to increased surgical risks and hospital readmissions.</w:t>
      </w:r>
    </w:p>
    <w:p>
      <w:pPr>
        <w:pStyle w:val="BodyText"/>
      </w:pPr>
      <w:r>
        <w:t xml:space="preserve">The success of the Polyurethane-Epoxy composite in this Birmingham-based lab aligns with national strategies to reduce healthcare costs while improving outcomes. Furthermore, the collaboration between academic researchers in United Kingdom Birmingham and clinical staff at local hospitals ensures that these engineering solutions are grounded in practical necessity. The ability to predict sensor longevity reduces the uncertainty associated with chronic disease management.</w:t>
      </w:r>
    </w:p>
    <w:bookmarkEnd w:id="28"/>
    <w:bookmarkStart w:id="29" w:name="a6.-conclusion"/>
    <w:p>
      <w:pPr>
        <w:pStyle w:val="Heading2"/>
      </w:pPr>
      <w:r>
        <w:t xml:space="preserve">A6. Conclusion</w:t>
      </w:r>
    </w:p>
    <w:p>
      <w:pPr>
        <w:pStyle w:val="FirstParagraph"/>
      </w:pPr>
      <w:r>
        <w:t xml:space="preserve">This laboratory report confirms that advanced composite materials offer superior durability and signal stability compared to traditional silicone-based sensors. For Biomedical Engineers working in United Kingdom Birmingham, these results provide a viable pathway for the next generation of implantable medical devices. The rigorous testing protocols established in this study should be adopted as a standard benchmark for future research projects.</w:t>
      </w:r>
    </w:p>
    <w:p>
      <w:pPr>
        <w:pStyle w:val="BodyText"/>
      </w:pPr>
      <w:r>
        <w:t xml:space="preserve">Future work will involve in vivo trials with animal models to further validate these findings before human clinical trials can be proposed. Continued investment in biomedical engineering research within the United Kingdom is essential to maintain our position at the forefront of global medical technology.</w:t>
      </w:r>
    </w:p>
    <w:bookmarkEnd w:id="29"/>
    <w:bookmarkStart w:id="30" w:name="a7.-references"/>
    <w:p>
      <w:pPr>
        <w:pStyle w:val="Heading2"/>
      </w:pPr>
      <w:r>
        <w:t xml:space="preserve">A7. References</w:t>
      </w:r>
    </w:p>
    <w:p>
      <w:pPr>
        <w:numPr>
          <w:ilvl w:val="0"/>
          <w:numId w:val="1002"/>
        </w:numPr>
        <w:pStyle w:val="Compact"/>
      </w:pPr>
      <w:r>
        <w:t xml:space="preserve">NHS England. (2023). *Digital Health Technologies: Implementation Guidelines*. London: NHS Publications.</w:t>
      </w:r>
    </w:p>
    <w:p>
      <w:pPr>
        <w:numPr>
          <w:ilvl w:val="0"/>
          <w:numId w:val="1002"/>
        </w:numPr>
        <w:pStyle w:val="Compact"/>
      </w:pPr>
      <w:r>
        <w:t xml:space="preserve">Birmingham City Council. (2024). *Strategic Plan for Advanced Manufacturing and Healthcare Innovation*. Birmingham, United Kingdom.</w:t>
      </w:r>
    </w:p>
    <w:p>
      <w:pPr>
        <w:numPr>
          <w:ilvl w:val="0"/>
          <w:numId w:val="1002"/>
        </w:numPr>
        <w:pStyle w:val="Compact"/>
      </w:pPr>
      <w:r>
        <w:t xml:space="preserve">Vance, E., &amp; Smith, J. (2023). "Material Degradation in Implantable Devices." *Journal of Biomedical Engineering*, 15(4), 112-125.</w:t>
      </w:r>
    </w:p>
    <w:p>
      <w:pPr>
        <w:numPr>
          <w:ilvl w:val="0"/>
          <w:numId w:val="1002"/>
        </w:numPr>
        <w:pStyle w:val="Compact"/>
      </w:pPr>
      <w:r>
        <w:t xml:space="preserve">Medicines and Healthcare products Regulatory Agency (MHRA). (2023). *Software as a Medical Device: Quality and Safety Principles*. UK Government Publications.</w:t>
      </w:r>
    </w:p>
    <w:p>
      <w:pPr>
        <w:pStyle w:val="FirstParagraph"/>
      </w:pPr>
      <w:r>
        <w:br/>
      </w:r>
      <w:r>
        <w:br/>
      </w:r>
    </w:p>
    <w:p>
      <w:pPr>
        <w:pStyle w:val="BodyText"/>
      </w:pPr>
      <w:r>
        <w:t xml:space="preserve">End of Document. Prepared for internal review at the University of Birmingham, United Kingdom.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United Kingdom Birmingham</dc:title>
  <dc:creator/>
  <dc:language>en</dc:language>
  <cp:keywords/>
  <dcterms:created xsi:type="dcterms:W3CDTF">2026-07-29T03:05:54Z</dcterms:created>
  <dcterms:modified xsi:type="dcterms:W3CDTF">2026-07-29T03:05:54Z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