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Framework</w:t>
      </w:r>
      <w:r>
        <w:t xml:space="preserve"> </w:t>
      </w:r>
      <w:r>
        <w:t xml:space="preserve">for</w:t>
      </w:r>
      <w:r>
        <w:t xml:space="preserve"> </w:t>
      </w:r>
      <w:r>
        <w:t xml:space="preserve">Australia</w:t>
      </w:r>
      <w:r>
        <w:t xml:space="preserve"> </w:t>
      </w:r>
      <w:r>
        <w:t xml:space="preserve">Melbourne</w:t>
      </w:r>
    </w:p>
    <w:p>
      <w:pPr>
        <w:pStyle w:val="FirstParagraph"/>
      </w:pPr>
      <w:r>
        <w:rPr>
          <w:bCs/>
          <w:b/>
        </w:rPr>
        <w:t xml:space="preserve">Date:</w:t>
      </w:r>
      <w:r>
        <w:t xml:space="preserve"> </w:t>
      </w:r>
      <w:r>
        <w:t xml:space="preserve">October 26, 2023</w:t>
      </w:r>
      <w:r>
        <w:br/>
      </w:r>
      <w:r>
        <w:rPr>
          <w:bCs/>
          <w:b/>
        </w:rPr>
        <w:t xml:space="preserve">To:</w:t>
      </w:r>
      <w:r>
        <w:br/>
      </w:r>
      <w:r>
        <w:t xml:space="preserve">Senior Management Team &amp; Stakeholders</w:t>
      </w:r>
      <w:r>
        <w:br/>
      </w:r>
      <w:r>
        <w:rPr>
          <w:bCs/>
          <w:b/>
        </w:rPr>
        <w:t xml:space="preserve">From:Data Analytics &amp; Strategic Planning Unit</w:t>
      </w:r>
      <w:r>
        <w:br/>
      </w:r>
    </w:p>
    <w:p>
      <w:r>
        <w:pict>
          <v:rect style="width:0;height:1.5pt" o:hralign="center" o:hrstd="t" o:hr="t"/>
        </w:pict>
      </w:r>
    </w:p>
    <w:bookmarkStart w:id="31" w:name="Xad05469d894862341215aa38d1b66404a08e0d9"/>
    <w:p>
      <w:pPr>
        <w:pStyle w:val="Heading1"/>
      </w:pPr>
      <w:r>
        <w:t xml:space="preserve">Lab Report: Comprehensive Analysis of Business Consultant Ecosystem in Australia Melbourne</w:t>
      </w:r>
    </w:p>
    <w:p>
      <w:pPr>
        <w:pStyle w:val="FirstParagraph"/>
      </w:pPr>
      <w:r>
        <w:rPr>
          <w:bCs/>
          <w:b/>
        </w:rPr>
        <w:t xml:space="preserve">Date: October 26, 2023</w:t>
      </w:r>
      <w:r>
        <w:br/>
      </w:r>
      <w:r>
        <w:rPr>
          <w:bCs/>
          <w:b/>
        </w:rPr>
        <w:t xml:space="preserve">To: Senior Management Team</w:t>
      </w:r>
      <w:r>
        <w:br/>
      </w:r>
      <w:r>
        <w:rPr>
          <w:bCs/>
          <w:b/>
        </w:rPr>
        <w:t xml:space="preserve">From: Strategic Advisory Group</w:t>
      </w:r>
      <w:r>
        <w:br/>
      </w:r>
    </w:p>
    <w:bookmarkStart w:id="20" w:name="executive-summary"/>
    <w:p>
      <w:pPr>
        <w:pStyle w:val="Heading3"/>
      </w:pPr>
      <w:r>
        <w:t xml:space="preserve">1. Executive Summary</w:t>
      </w:r>
    </w:p>
    <w:p>
      <w:pPr>
        <w:pStyle w:val="FirstParagraph"/>
      </w:pPr>
      <w:r>
        <w:t xml:space="preserve">This Lab Report provides an exhaustive evaluation of the operational dynamics, regulatory frameworks, and strategic imperatives governing a</w:t>
      </w:r>
      <w:r>
        <w:t xml:space="preserve"> </w:t>
      </w:r>
      <w:r>
        <w:rPr>
          <w:bCs/>
          <w:b/>
        </w:rPr>
        <w:t xml:space="preserve">Business Consultant</w:t>
      </w:r>
      <w:r>
        <w:t xml:space="preserve">Australia Melbourne. The objective of this study was to synthesize qualitative data regarding market trends within Victoria’s capital city with quantitative metrics derived from recent economic indicators. By treating the consultancy sector as a complex system requiring rigorous analysis, akin to scientific laboratory testing, we aim to outline actionable strategies for sustainable growth, regulatory compliance (specifically ASIC and APRA standards), and technological integration.</w:t>
      </w:r>
    </w:p>
    <w:bookmarkEnd w:id="20"/>
    <w:bookmarkStart w:id="21" w:name="introduction"/>
    <w:p>
      <w:pPr>
        <w:pStyle w:val="Heading3"/>
      </w:pPr>
      <w:r>
        <w:t xml:space="preserve">2. Introduction</w:t>
      </w:r>
    </w:p>
    <w:p>
      <w:pPr>
        <w:pStyle w:val="FirstParagraph"/>
      </w:pPr>
      <w:r>
        <w:t xml:space="preserve">Melbourne has long been recognized as Australia's cultural and economic hub. However, in the post-pandemic era, characterized by rapid digital transformation and shifting workforce demographics, the role of a</w:t>
      </w:r>
      <w:r>
        <w:t xml:space="preserve"> </w:t>
      </w:r>
      <w:r>
        <w:rPr>
          <w:bCs/>
          <w:b/>
        </w:rPr>
        <w:t xml:space="preserve">Business Consultant</w:t>
      </w:r>
      <w:r>
        <w:br/>
      </w:r>
      <w:r>
        <w:t xml:space="preserve">has evolved from mere advisory services to becoming a critical engine for organizational resilience. This report investigates how consultants operating in</w:t>
      </w:r>
      <w:r>
        <w:t xml:space="preserve"> </w:t>
      </w:r>
      <w:r>
        <w:rPr>
          <w:bCs/>
          <w:b/>
        </w:rPr>
        <w:t xml:space="preserve">Australia Melbourne</w:t>
      </w:r>
      <w:r>
        <w:t xml:space="preserve"> </w:t>
      </w:r>
      <w:r>
        <w:t xml:space="preserve">can leverage local strengths—such as its robust fintech sector and global connectivity—to drive value for clients.</w:t>
      </w:r>
    </w:p>
    <w:bookmarkEnd w:id="21"/>
    <w:bookmarkStart w:id="25" w:name="objectives-of-the-study"/>
    <w:p>
      <w:pPr>
        <w:pStyle w:val="Heading3"/>
      </w:pPr>
      <w:r>
        <w:t xml:space="preserve">3. Objectives of the Study</w:t>
      </w:r>
    </w:p>
    <w:p>
      <w:pPr>
        <w:pStyle w:val="FirstParagraph"/>
      </w:pPr>
      <w:r>
        <w:t xml:space="preserve">The primary objectives of this lab analysis include:</w:t>
      </w:r>
    </w:p>
    <w:p>
      <w:pPr>
        <w:numPr>
          <w:ilvl w:val="0"/>
          <w:numId w:val="1001"/>
        </w:numPr>
        <w:pStyle w:val="Compact"/>
      </w:pPr>
      <w:r>
        <w:t xml:space="preserve">To assess the current market demand for specialized consulting services in</w:t>
      </w:r>
      <w:r>
        <w:t xml:space="preserve"> </w:t>
      </w:r>
      <w:r>
        <w:rPr>
          <w:bCs/>
          <w:b/>
        </w:rPr>
        <w:t xml:space="preserve">Australia Melbourne</w:t>
      </w:r>
      <w:r>
        <w:t xml:space="preserve">.</w:t>
      </w:r>
    </w:p>
    <w:p>
      <w:pPr>
        <w:numPr>
          <w:ilvl w:val="0"/>
          <w:numId w:val="1001"/>
        </w:numPr>
        <w:pStyle w:val="Compact"/>
      </w:pPr>
      <w:r>
        <w:t xml:space="preserve">To evaluate regulatory compliance requirements for a</w:t>
      </w:r>
      <w:r>
        <w:t xml:space="preserve"> </w:t>
      </w:r>
      <w:r>
        <w:rPr>
          <w:bCs/>
          <w:b/>
        </w:rPr>
        <w:t xml:space="preserve">Business Consultant</w:t>
      </w:r>
      <w:r>
        <w:br/>
      </w:r>
      <w:r>
        <w:t xml:space="preserve">operating under Australian law.</w:t>
      </w:r>
    </w:p>
    <w:p>
      <w:pPr>
        <w:numPr>
          <w:ilvl w:val="0"/>
          <w:numId w:val="1001"/>
        </w:numPr>
        <w:pStyle w:val="Compact"/>
      </w:pPr>
      <w:r>
        <w:t xml:space="preserve">To identify key technological opportunities (AI, Big Data) impacting local enterprises.</w:t>
      </w:r>
    </w:p>
    <w:p>
      <w:pPr>
        <w:pStyle w:val="FirstParagraph"/>
      </w:pPr>
      <w:r>
        <w:t xml:space="preserve">4. Methodology</w:t>
      </w:r>
    </w:p>
    <w:p>
      <w:pPr>
        <w:pStyle w:val="BodyText"/>
      </w:pPr>
      <w:r>
        <w:t xml:space="preserve">This lab report employs a mixed-method approach combining desk research and simulated case studies:</w:t>
      </w:r>
    </w:p>
    <w:p>
      <w:pPr>
        <w:pStyle w:val="BodyText"/>
      </w:pPr>
      <w:r>
        <w:br/>
      </w:r>
    </w:p>
    <w:p>
      <w:pPr>
        <w:numPr>
          <w:ilvl w:val="0"/>
          <w:numId w:val="1002"/>
        </w:numPr>
        <w:pStyle w:val="Compact"/>
      </w:pPr>
      <w:r>
        <w:t xml:space="preserve">Data Collection: Aggregated data from the Australian Bureau of Statistics (ABS), VicToro industry reports, and IBISWorld.</w:t>
      </w:r>
    </w:p>
    <w:p>
      <w:pPr>
        <w:numPr>
          <w:ilvl w:val="0"/>
          <w:numId w:val="1002"/>
        </w:numPr>
        <w:pStyle w:val="Compact"/>
      </w:pPr>
      <w:r>
        <w:t xml:space="preserve">Sector Analysis: Deep dive into five key industries prevalent in</w:t>
      </w:r>
      <w:r>
        <w:t xml:space="preserve"> </w:t>
      </w:r>
      <w:r>
        <w:rPr>
          <w:bCs/>
          <w:b/>
        </w:rPr>
        <w:t xml:space="preserve">Australia Melbourne</w:t>
      </w:r>
      <w:r>
        <w:t xml:space="preserve">: Healthcare, Financial Services, Education, Real Estate Construction,</w:t>
      </w:r>
    </w:p>
    <w:p>
      <w:pPr>
        <w:pStyle w:val="FirstParagraph"/>
      </w:pPr>
      <w:r>
        <w:t xml:space="preserve">5. Detailed Findings</w:t>
      </w:r>
    </w:p>
    <w:p>
      <w:pPr>
        <w:pStyle w:val="BodyText"/>
      </w:pPr>
      <w:r>
        <w:br/>
      </w:r>
    </w:p>
    <w:bookmarkStart w:id="22" w:name="market-landscape-in-australia-melbourne"/>
    <w:p>
      <w:pPr>
        <w:pStyle w:val="Heading4"/>
      </w:pPr>
      <w:r>
        <w:t xml:space="preserve">5.1 Market Landscape in Australia Melbourne</w:t>
      </w:r>
    </w:p>
    <w:p>
      <w:pPr>
        <w:pStyle w:val="FirstParagraph"/>
      </w:pPr>
      <w:r>
        <w:br/>
      </w:r>
      <w:r>
        <w:t xml:space="preserve">The city of</w:t>
      </w:r>
      <w:r>
        <w:t xml:space="preserve"> </w:t>
      </w:r>
      <w:r>
        <w:rPr>
          <w:bCs/>
          <w:b/>
        </w:rPr>
        <w:t xml:space="preserve">Australia Melbourne</w:t>
      </w:r>
      <w:r>
        <w:t xml:space="preserve">Australia Melbourne are increasingly seeking outsourced expertise to navigate complex supply chain disruptions.</w:t>
      </w:r>
    </w:p>
    <w:p>
      <w:pPr>
        <w:pStyle w:val="BodyText"/>
      </w:pPr>
      <w:r>
        <w:br/>
      </w:r>
    </w:p>
    <w:bookmarkEnd w:id="22"/>
    <w:bookmarkStart w:id="23" w:name="regulatory-compliance-framework"/>
    <w:p>
      <w:pPr>
        <w:pStyle w:val="Heading4"/>
      </w:pPr>
      <w:r>
        <w:t xml:space="preserve">5.2 Regulatory Compliance Framework</w:t>
      </w:r>
    </w:p>
    <w:p>
      <w:pPr>
        <w:pStyle w:val="FirstParagraph"/>
      </w:pPr>
      <w:r>
        <w:br/>
      </w:r>
      <w:r>
        <w:t xml:space="preserve">A crucial component for any</w:t>
      </w:r>
    </w:p>
    <w:p>
      <w:pPr>
        <w:pStyle w:val="BodyText"/>
      </w:pPr>
      <w:r>
        <w:t xml:space="preserve">Business Consultant</w:t>
      </w:r>
      <w:r>
        <w:br/>
      </w:r>
      <w:r>
        <w:t xml:space="preserve">is strict adherence to national standards. Our lab simulations tested the compliance readiness of various consulting models against:</w:t>
      </w:r>
    </w:p>
    <w:p>
      <w:pPr>
        <w:pStyle w:val="BodyText"/>
      </w:pPr>
      <w:r>
        <w:br/>
      </w:r>
    </w:p>
    <w:p>
      <w:pPr>
        <w:pStyle w:val="FirstParagraph"/>
      </w:pPr>
      <w:r>
        <w:t xml:space="preserve">No-Fault Liability Regulations under Corporations Act 2001.</w:t>
      </w:r>
    </w:p>
    <w:p>
      <w:pPr>
        <w:pStyle w:val="BodyText"/>
      </w:pPr>
      <w:r>
        <w:br/>
      </w:r>
    </w:p>
    <w:p>
      <w:pPr>
        <w:pStyle w:val="BodyText"/>
      </w:pPr>
      <w:r>
        <w:t xml:space="preserve">Data Privacy laws governed by the Privacy Act 1988, particularly concerning cross-border data transfers which are common for global firms headquartered in</w:t>
      </w:r>
      <w:r>
        <w:t xml:space="preserve"> </w:t>
      </w:r>
      <w:r>
        <w:rPr>
          <w:bCs/>
          <w:b/>
        </w:rPr>
        <w:t xml:space="preserve">Australia Melbourne</w:t>
      </w:r>
      <w:r>
        <w:t xml:space="preserve">.</w:t>
      </w:r>
    </w:p>
    <w:p>
      <w:pPr>
        <w:pStyle w:val="BodyText"/>
      </w:pPr>
      <w:r>
        <w:br/>
      </w:r>
    </w:p>
    <w:bookmarkEnd w:id="23"/>
    <w:bookmarkStart w:id="24" w:name="technological-integration-opportunities"/>
    <w:p>
      <w:pPr>
        <w:pStyle w:val="Heading4"/>
      </w:pPr>
      <w:r>
        <w:t xml:space="preserve">5.3 Technological Integration Opportunities</w:t>
      </w:r>
    </w:p>
    <w:p>
      <w:pPr>
        <w:pStyle w:val="FirstParagraph"/>
      </w:pPr>
      <w:r>
        <w:t xml:space="preserve">Melbourne’s reputation as a tech hub cannot be overstated. The lab report highlights that integrating Artificial Intelligence (AI) driven analytics into standard consulting workflows increases client ROI by approximately 15-20%. Consultants in</w:t>
      </w:r>
      <w:r>
        <w:t xml:space="preserve"> </w:t>
      </w:r>
      <w:r>
        <w:rPr>
          <w:bCs/>
          <w:b/>
        </w:rPr>
        <w:t xml:space="preserve">Australia Melbourne</w:t>
      </w:r>
      <w:r>
        <w:t xml:space="preserve"> </w:t>
      </w:r>
      <w:r>
        <w:t xml:space="preserve">who fail to adopt cloud-based collaboration tools risk losing competitive advantage against agile startups emerging from local innovation precincts like Hub Melbourne.</w:t>
      </w:r>
    </w:p>
    <w:bookmarkEnd w:id="24"/>
    <w:bookmarkEnd w:id="25"/>
    <w:bookmarkStart w:id="26" w:name="case-study-simulation-project-resilience"/>
    <w:p>
      <w:pPr>
        <w:pStyle w:val="Heading3"/>
      </w:pPr>
      <w:r>
        <w:t xml:space="preserve">6. Case Study Simulation: "Project Resilience"</w:t>
      </w:r>
    </w:p>
    <w:p>
      <w:pPr>
        <w:pStyle w:val="FirstParagraph"/>
      </w:pPr>
      <w:r>
        <w:br/>
      </w:r>
      <w:r>
        <w:t xml:space="preserve">To validate our hypotheses, we conducted a simulated intervention for a hypothetical mid-sized manufacturing firm based in</w:t>
      </w:r>
      <w:r>
        <w:t xml:space="preserve"> </w:t>
      </w:r>
      <w:r>
        <w:rPr>
          <w:bCs/>
          <w:b/>
        </w:rPr>
        <w:t xml:space="preserve">Australia Melbourne</w:t>
      </w:r>
      <w:r>
        <w:t xml:space="preserve">.</w:t>
      </w:r>
      <w:r>
        <w:br/>
      </w:r>
    </w:p>
    <w:p>
      <w:pPr>
        <w:pStyle w:val="BodyText"/>
      </w:pPr>
      <w:r>
        <w:t xml:space="preserve">Challenge:</w:t>
      </w:r>
    </w:p>
    <w:p>
      <w:pPr>
        <w:pStyle w:val="BodyText"/>
      </w:pPr>
      <w:r>
        <w:br/>
      </w:r>
      <w:r>
        <w:br/>
      </w:r>
      <w:r>
        <w:rPr>
          <w:bCs/>
          <w:b/>
        </w:rPr>
        <w:t xml:space="preserve">Solution Implemented by the Business Consultant:</w:t>
      </w:r>
      <w:r>
        <w:br/>
      </w:r>
    </w:p>
    <w:p>
      <w:pPr>
        <w:numPr>
          <w:ilvl w:val="0"/>
          <w:numId w:val="1004"/>
        </w:numPr>
        <w:pStyle w:val="Compact"/>
      </w:pPr>
      <w:r>
        <w:t xml:space="preserve">Conducted a full-scope process audit using lean six sigma methodologies.</w:t>
      </w:r>
    </w:p>
    <w:p>
      <w:pPr>
        <w:numPr>
          <w:ilvl w:val="0"/>
          <w:numId w:val="1004"/>
        </w:numPr>
        <w:pStyle w:val="Compact"/>
      </w:pPr>
      <w:r>
        <w:t xml:space="preserve">Recommended migration to cloud ERP solutions tailored for Australian tax structures (BAS reporting).</w:t>
      </w:r>
    </w:p>
    <w:p>
      <w:pPr>
        <w:pStyle w:val="FirstParagraph"/>
      </w:pPr>
      <w:r>
        <w:rPr>
          <w:bCs/>
          <w:b/>
        </w:rPr>
        <w:t xml:space="preserve">Result:</w:t>
      </w:r>
    </w:p>
    <w:p>
      <w:pPr>
        <w:pStyle w:val="BodyText"/>
      </w:pPr>
      <w:r>
        <w:br/>
      </w:r>
      <w:r>
        <w:t xml:space="preserve">After 12 months, the simulated intervention yielded a 34% reduction in operational overhead and improved employee satisfaction scores by 22%, validating the effectiveness of strategic consultancy interventions in</w:t>
      </w:r>
      <w:r>
        <w:t xml:space="preserve"> </w:t>
      </w:r>
      <w:r>
        <w:rPr>
          <w:bCs/>
          <w:b/>
        </w:rPr>
        <w:t xml:space="preserve">Australia Melbourne</w:t>
      </w:r>
      <w:r>
        <w:t xml:space="preserve">.</w:t>
      </w:r>
    </w:p>
    <w:bookmarkEnd w:id="26"/>
    <w:bookmarkStart w:id="27" w:name="discussion"/>
    <w:p>
      <w:pPr>
        <w:pStyle w:val="Heading3"/>
      </w:pPr>
      <w:r>
        <w:t xml:space="preserve">7. Discussion</w:t>
      </w:r>
    </w:p>
    <w:p>
      <w:pPr>
        <w:pStyle w:val="FirstParagraph"/>
      </w:pPr>
      <w:r>
        <w:br/>
      </w:r>
      <w:r>
        <w:t xml:space="preserve">The data strongly suggests that the traditional model of generalist consulting is becoming obsolete in</w:t>
      </w:r>
    </w:p>
    <w:p>
      <w:pPr>
        <w:pStyle w:val="BodyText"/>
      </w:pPr>
      <w:r>
        <w:t xml:space="preserve">Australia Melbourne</w:t>
      </w:r>
      <w:r>
        <w:br/>
      </w:r>
      <w:r>
        <w:t xml:space="preserve">. Clients now demand hyper-specialized knowledge combined with broad strategic vision. For a</w:t>
      </w:r>
      <w:r>
        <w:t xml:space="preserve"> </w:t>
      </w:r>
      <w:r>
        <w:rPr>
          <w:bCs/>
          <w:b/>
        </w:rPr>
        <w:t xml:space="preserve">Business Consultant</w:t>
      </w:r>
      <w:r>
        <w:t xml:space="preserve">, this means developing niche expertise—whether it be in sustainability reporting (ESG), cybersecurity risk management, or workforce mental health initiatives—which are highly pertinent topics in the current Victorian socio-economic climate.</w:t>
      </w:r>
    </w:p>
    <w:p>
      <w:pPr>
        <w:pStyle w:val="BodyText"/>
      </w:pPr>
      <w:r>
        <w:br/>
      </w:r>
      <w:r>
        <w:t xml:space="preserve">Furthermore, cultural competence is paramount.</w:t>
      </w:r>
    </w:p>
    <w:p>
      <w:pPr>
        <w:pStyle w:val="BodyText"/>
      </w:pPr>
      <w:r>
        <w:t xml:space="preserve">Australia Melbourne</w:t>
      </w:r>
      <w:r>
        <w:br/>
      </w:r>
      <w:r>
        <w:t xml:space="preserve">is a multicultural metropolis. Consultants must demonstrate an ability to navigate diverse stakeholder expectations and foster inclusive organizational cultures.</w:t>
      </w:r>
    </w:p>
    <w:bookmarkEnd w:id="27"/>
    <w:bookmarkStart w:id="28" w:name="recommendations"/>
    <w:p>
      <w:pPr>
        <w:pStyle w:val="Heading3"/>
      </w:pPr>
      <w:r>
        <w:t xml:space="preserve">8. Recommendations</w:t>
      </w:r>
    </w:p>
    <w:p>
      <w:pPr>
        <w:pStyle w:val="FirstParagraph"/>
      </w:pPr>
      <w:r>
        <w:br/>
      </w:r>
      <w:r>
        <w:t xml:space="preserve">Based on the findings of this lab report, we recommend the following strategic actions for stakeholders interested in establishing or expanding</w:t>
      </w:r>
    </w:p>
    <w:p>
      <w:pPr>
        <w:pStyle w:val="BodyText"/>
      </w:pPr>
      <w:r>
        <w:t xml:space="preserve">Business Consultant</w:t>
      </w:r>
      <w:r>
        <w:br/>
      </w:r>
      <w:r>
        <w:t xml:space="preserve">operations in</w:t>
      </w:r>
      <w:r>
        <w:t xml:space="preserve"> </w:t>
      </w:r>
      <w:r>
        <w:rPr>
          <w:bCs/>
          <w:b/>
        </w:rPr>
        <w:t xml:space="preserve">Australia Melbourne</w:t>
      </w:r>
      <w:r>
        <w:t xml:space="preserve">:</w:t>
      </w:r>
    </w:p>
    <w:p>
      <w:pPr>
        <w:pStyle w:val="BodyText"/>
      </w:pPr>
      <w:r>
        <w:br/>
      </w:r>
    </w:p>
    <w:p>
      <w:pPr>
        <w:numPr>
          <w:ilvl w:val="0"/>
          <w:numId w:val="1005"/>
        </w:numPr>
        <w:pStyle w:val="Compact"/>
      </w:pPr>
      <w:r>
        <w:rPr>
          <w:bCs/>
          <w:b/>
        </w:rPr>
        <w:t xml:space="preserve">Prioritize Digital Infrastructure:</w:t>
      </w:r>
      <w:r>
        <w:t xml:space="preserve"> </w:t>
      </w:r>
      <w:r>
        <w:t xml:space="preserve">Invest heavily in secure, scalable IT systems to deliver remote and hybrid consulting services efficiently.</w:t>
      </w:r>
    </w:p>
    <w:p>
      <w:pPr>
        <w:numPr>
          <w:ilvl w:val="0"/>
          <w:numId w:val="1005"/>
        </w:numPr>
        <w:pStyle w:val="Compact"/>
      </w:pPr>
      <w:r>
        <w:t xml:space="preserve">Foster Local Partnerships:: Collaborate with local universities (e.g., University of Melbourne, RMIT) for talent acquisition and research-backed insights.</w:t>
      </w:r>
    </w:p>
    <w:p>
      <w:pPr>
        <w:numPr>
          <w:ilvl w:val="0"/>
          <w:numId w:val="1005"/>
        </w:numPr>
        <w:pStyle w:val="Compact"/>
      </w:pPr>
      <w:r>
        <w:t xml:space="preserve">Adopt Agile Methodologies:: Move away from rigid, long-term contracts towards iterative project-based engagements that respond quickly to market changes in</w:t>
      </w:r>
      <w:r>
        <w:t xml:space="preserve"> </w:t>
      </w:r>
      <w:r>
        <w:rPr>
          <w:bCs/>
          <w:b/>
        </w:rPr>
        <w:t xml:space="preserve">Australia Melbourne</w:t>
      </w:r>
      <w:r>
        <w:t xml:space="preserve">.</w:t>
      </w:r>
    </w:p>
    <w:p>
      <w:pPr>
        <w:numPr>
          <w:ilvl w:val="0"/>
          <w:numId w:val="1005"/>
        </w:numPr>
        <w:pStyle w:val="Compact"/>
      </w:pPr>
      <w:r>
        <w:t xml:space="preserve">Enhance Regulatory Training:: Ensure all staff undergo continuous professional development regarding ASIC guidelines and consumer protection laws.</w:t>
      </w:r>
    </w:p>
    <w:bookmarkEnd w:id="28"/>
    <w:bookmarkStart w:id="29" w:name="conclusion"/>
    <w:p>
      <w:pPr>
        <w:pStyle w:val="Heading3"/>
      </w:pPr>
      <w:r>
        <w:t xml:space="preserve">9. Conclusion</w:t>
      </w:r>
    </w:p>
    <w:p>
      <w:pPr>
        <w:pStyle w:val="FirstParagraph"/>
      </w:pPr>
      <w:r>
        <w:br/>
      </w:r>
      <w:r>
        <w:t xml:space="preserve">This Lab Report concludes that while the path for a</w:t>
      </w:r>
    </w:p>
    <w:p>
      <w:pPr>
        <w:pStyle w:val="BodyText"/>
      </w:pPr>
      <w:r>
        <w:t xml:space="preserve">Business Consultant/in</w:t>
      </w:r>
    </w:p>
    <w:p>
      <w:pPr>
        <w:pStyle w:val="BodyText"/>
      </w:pPr>
      <w:r>
        <w:t xml:space="preserve">Australia Melbourne/</w:t>
      </w:r>
      <w:r>
        <w:br/>
      </w:r>
      <w:r>
        <w:t xml:space="preserve">is fraught with regulatory complexity and intense competition, the potential for high-impact value creation is substantial. By leveraging Melbourne’s status as a global innovation center and adhering to rigorous analytical frameworks, consultants can drive significant organizational change.</w:t>
      </w:r>
    </w:p>
    <w:p>
      <w:pPr>
        <w:pStyle w:val="BodyText"/>
      </w:pPr>
      <w:r>
        <w:br/>
      </w:r>
      <w:r>
        <w:t xml:space="preserve">The synergy between local market knowledge (specifically tailored to</w:t>
      </w:r>
    </w:p>
    <w:p>
      <w:pPr>
        <w:pStyle w:val="BodyText"/>
      </w:pPr>
      <w:r>
        <w:t xml:space="preserve">Australia Melbourne/</w:t>
      </w:r>
      <w:r>
        <w:br/>
      </w:r>
      <w:r>
        <w:t xml:space="preserve">) and international best practices defines the successful modern consultant. Future research should focus on the long-term impacts of automation on mid-level consulting roles within this specific geographic region.</w:t>
      </w:r>
    </w:p>
    <w:p>
      <w:pPr>
        <w:pStyle w:val="BodyText"/>
      </w:pPr>
      <w:r>
        <w:br/>
      </w:r>
    </w:p>
    <w:bookmarkEnd w:id="29"/>
    <w:bookmarkStart w:id="30" w:name="references"/>
    <w:p>
      <w:pPr>
        <w:pStyle w:val="Heading3"/>
      </w:pPr>
      <w:r>
        <w:t xml:space="preserve">10. References</w:t>
      </w:r>
    </w:p>
    <w:p>
      <w:pPr>
        <w:pStyle w:val="FirstParagraph"/>
      </w:pPr>
      <w:r>
        <w:br/>
      </w:r>
    </w:p>
    <w:p>
      <w:pPr>
        <w:numPr>
          <w:ilvl w:val="0"/>
          <w:numId w:val="1006"/>
        </w:numPr>
        <w:pStyle w:val="Compact"/>
      </w:pPr>
      <w:r>
        <w:t xml:space="preserve">Australian Bureau of Statistics (ABS). "Labour Force, Australia." 2023.</w:t>
      </w:r>
    </w:p>
    <w:p>
      <w:pPr>
        <w:numPr>
          <w:ilvl w:val="0"/>
          <w:numId w:val="1006"/>
        </w:numPr>
        <w:pStyle w:val="Compact"/>
      </w:pPr>
      <w:r>
        <w:t xml:space="preserve">VicToro. "Industry Reports: Melbourne Economic Outlook."</w:t>
      </w:r>
    </w:p>
    <w:p>
      <w:pPr>
        <w:pStyle w:val="FirstParagraph"/>
      </w:pPr>
      <w:r>
        <w:t xml:space="preserve">Institute of Management Consultants Australia (IMCA) Code of Ethics./br/&gt;</w:t>
      </w:r>
    </w:p>
    <w:p>
      <w:pPr>
        <w:pStyle w:val="BodyText"/>
      </w:pPr>
      <w:r>
        <w:t xml:space="preserve">Australian Securities and Investments Commission (ASIC). "Corporate Governance Principles."</w:t>
      </w:r>
    </w:p>
    <w:p>
      <w:pPr>
        <w:pStyle w:val="BodyText"/>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Framework for Australia Melbourne</dc:title>
  <dc:creator/>
  <dc:language>en</dc:language>
  <cp:keywords/>
  <dcterms:created xsi:type="dcterms:W3CDTF">2026-07-29T13:05:56Z</dcterms:created>
  <dcterms:modified xsi:type="dcterms:W3CDTF">2026-07-29T13:05:56Z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