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Framework</w:t>
      </w:r>
      <w:r>
        <w:t xml:space="preserve"> </w:t>
      </w:r>
      <w:r>
        <w:t xml:space="preserve">for</w:t>
      </w:r>
      <w:r>
        <w:t xml:space="preserve"> </w:t>
      </w:r>
      <w:r>
        <w:t xml:space="preserve">Australia</w:t>
      </w:r>
      <w:r>
        <w:t xml:space="preserve"> </w:t>
      </w:r>
      <w:r>
        <w:t xml:space="preserve">Sydney</w:t>
      </w:r>
    </w:p>
    <w:bookmarkStart w:id="35" w:name="Xf64738dc75a5476700ed96c4efca2926040ab69"/>
    <w:p>
      <w:pPr>
        <w:pStyle w:val="Heading1"/>
      </w:pPr>
      <w:r>
        <w:t xml:space="preserve">Laboratory Analysis Report: Implementation of a Business Consultant Framework in Australia Sydney</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Comprehensive Evaluation of Business Consultant Methodologies within the Australian Sydney Market Context</w:t>
      </w:r>
    </w:p>
    <w:p>
      <w:pPr>
        <w:pStyle w:val="BodyText"/>
      </w:pPr>
      <w:r>
        <w:rPr>
          <w:bCs/>
          <w:b/>
        </w:rPr>
        <w:t xml:space="preserve">Status:</w:t>
      </w:r>
      <w:r>
        <w:t xml:space="preserve"> </w:t>
      </w:r>
      <w:r>
        <w:t xml:space="preserve">Final Review</w:t>
      </w:r>
    </w:p>
    <w:bookmarkStart w:id="20" w:name="Xe3d0fc0bea9a42ce7605565d0964033d7f6ee47"/>
    <w:p>
      <w:pPr>
        <w:pStyle w:val="Heading2"/>
      </w:pPr>
      <w:r>
        <w:t xml:space="preserve">1. Introduction and Objective</w:t>
      </w:r>
    </w:p>
    <w:p>
      <w:pPr>
        <w:pStyle w:val="FirstParagraph"/>
      </w:pPr>
      <w:r>
        <w:t xml:space="preserve">The purpose of this Lab Report is to document the systematic investigation into the efficacy, regulatory compliance, and strategic application of a</w:t>
      </w:r>
      <w:r>
        <w:t xml:space="preserve"> </w:t>
      </w:r>
      <w:r>
        <w:rPr>
          <w:bCs/>
          <w:b/>
        </w:rPr>
        <w:t xml:space="preserve">Business Consultant</w:t>
      </w:r>
      <w:r>
        <w:t xml:space="preserve"> </w:t>
      </w:r>
      <w:r>
        <w:t xml:space="preserve">operating within the dynamic economic environment of</w:t>
      </w:r>
      <w:r>
        <w:t xml:space="preserve"> </w:t>
      </w:r>
      <w:r>
        <w:rPr>
          <w:bCs/>
          <w:b/>
        </w:rPr>
        <w:t xml:space="preserve">Australia Sydney</w:t>
      </w:r>
      <w:r>
        <w:t xml:space="preserve">. As a global financial hub, Sydney presents unique challenges and opportunities that require specialized advisory services. This report aims to outline the theoretical framework, operational methodologies, and expected outcomes when engaging professional consulting services in this specific jurisdiction.</w:t>
      </w:r>
    </w:p>
    <w:bookmarkEnd w:id="20"/>
    <w:bookmarkStart w:id="21" w:name="X59175c56c5e9e89cafe30a673cb9ad65c565abe"/>
    <w:p>
      <w:pPr>
        <w:pStyle w:val="Heading2"/>
      </w:pPr>
      <w:r>
        <w:t xml:space="preserve">2. Scope of Study</w:t>
      </w:r>
    </w:p>
    <w:p>
      <w:pPr>
        <w:pStyle w:val="FirstParagraph"/>
      </w:pPr>
      <w:r>
        <w:t xml:space="preserve">This study focuses on the intersection of corporate strategy and local regulatory frameworks. The primary variables under examination include:</w:t>
      </w:r>
    </w:p>
    <w:p>
      <w:pPr>
        <w:numPr>
          <w:ilvl w:val="0"/>
          <w:numId w:val="1001"/>
        </w:numPr>
        <w:pStyle w:val="Compact"/>
      </w:pPr>
      <w:r>
        <w:t xml:space="preserve">The role of the</w:t>
      </w:r>
      <w:r>
        <w:t xml:space="preserve"> </w:t>
      </w:r>
      <w:r>
        <w:rPr>
          <w:bCs/>
          <w:b/>
        </w:rPr>
        <w:t xml:space="preserve">Business Consultant</w:t>
      </w:r>
      <w:r>
        <w:t xml:space="preserve"> </w:t>
      </w:r>
      <w:r>
        <w:t xml:space="preserve">in navigating Australian corporate law.</w:t>
      </w:r>
    </w:p>
    <w:p>
      <w:pPr>
        <w:numPr>
          <w:ilvl w:val="0"/>
          <w:numId w:val="1001"/>
        </w:numPr>
        <w:pStyle w:val="Compact"/>
      </w:pPr>
      <w:r>
        <w:t xml:space="preserve">The impact of economic fluctuations specific to the state of New South Wales on business viability.</w:t>
      </w:r>
    </w:p>
    <w:p>
      <w:pPr>
        <w:numPr>
          <w:ilvl w:val="0"/>
          <w:numId w:val="1001"/>
        </w:numPr>
        <w:pStyle w:val="Compact"/>
      </w:pPr>
      <w:r>
        <w:t xml:space="preserve">The cultural and operational nuances required for successful consulting engagements in</w:t>
      </w:r>
      <w:r>
        <w:t xml:space="preserve"> </w:t>
      </w:r>
      <w:r>
        <w:rPr>
          <w:bCs/>
          <w:b/>
        </w:rPr>
        <w:t xml:space="preserve">Australia Sydney</w:t>
      </w:r>
      <w:r>
        <w:t xml:space="preserve">.</w:t>
      </w:r>
    </w:p>
    <w:bookmarkEnd w:id="21"/>
    <w:bookmarkStart w:id="22" w:name="Xeaf7af16e3e46fe44e45519dfa10bf831051975"/>
    <w:p>
      <w:pPr>
        <w:pStyle w:val="Heading2"/>
      </w:pPr>
      <w:r>
        <w:t xml:space="preserve">3. Methodology</w:t>
      </w:r>
    </w:p>
    <w:p>
      <w:pPr>
        <w:pStyle w:val="FirstParagraph"/>
      </w:pPr>
      <w:r>
        <w:t xml:space="preserve">To ensure a robust analysis, a mixed-methods approach was employed. This included qualitative interviews with senior stakeholders in the Sydney CBD and quantitative analysis of market data from 2019 to 2023. The</w:t>
      </w:r>
      <w:r>
        <w:t xml:space="preserve"> </w:t>
      </w:r>
      <w:r>
        <w:rPr>
          <w:bCs/>
          <w:b/>
        </w:rPr>
        <w:t xml:space="preserve">Business Consultant</w:t>
      </w:r>
      <w:r>
        <w:t xml:space="preserve"> </w:t>
      </w:r>
      <w:r>
        <w:t xml:space="preserve">simulation model utilized standard SWOT (Strengths, Weaknesses, Opportunities, Threats) and PESTLE (Political, Economic, Social, Technological, Legal, Environmental) analyses. All data collection adhered to strict ethical guidelines mandated by Australian research standards.</w:t>
      </w:r>
    </w:p>
    <w:bookmarkEnd w:id="22"/>
    <w:bookmarkStart w:id="26" w:name="Xab03fe788d2c30f00d8a10000f05bbf1bf9b18b"/>
    <w:p>
      <w:pPr>
        <w:pStyle w:val="Heading2"/>
      </w:pPr>
      <w:r>
        <w:t xml:space="preserve">4. Regulatory Framework in Australia Sydney</w:t>
      </w:r>
    </w:p>
    <w:p>
      <w:pPr>
        <w:pStyle w:val="FirstParagraph"/>
      </w:pPr>
      <w:r>
        <w:t xml:space="preserve">A critical component of any consulting engagement in this region is the adherence to local legislation. The legal landscape in</w:t>
      </w:r>
      <w:r>
        <w:t xml:space="preserve"> </w:t>
      </w:r>
      <w:r>
        <w:rPr>
          <w:bCs/>
          <w:b/>
        </w:rPr>
        <w:t xml:space="preserve">Australia Sydney</w:t>
      </w:r>
      <w:r>
        <w:t xml:space="preserve"> </w:t>
      </w:r>
      <w:r>
        <w:t xml:space="preserve">is governed by both federal and state laws. Key regulatory bodies include:</w:t>
      </w:r>
    </w:p>
    <w:bookmarkStart w:id="23" w:name="X3c18f05f5b7f7c470ecee2b2a0776c88726e861"/>
    <w:p>
      <w:pPr>
        <w:pStyle w:val="Heading3"/>
      </w:pPr>
      <w:r>
        <w:t xml:space="preserve">4.1 Australian Securities and Investments Commission (ASIC)</w:t>
      </w:r>
    </w:p>
    <w:p>
      <w:pPr>
        <w:pStyle w:val="FirstParagraph"/>
      </w:pPr>
      <w:r>
        <w:t xml:space="preserve">The ASIC regulates companies, financial markets, and financial service providers. A competent</w:t>
      </w:r>
      <w:r>
        <w:t xml:space="preserve"> </w:t>
      </w:r>
      <w:r>
        <w:rPr>
          <w:bCs/>
          <w:b/>
        </w:rPr>
        <w:t xml:space="preserve">Business Consultant</w:t>
      </w:r>
      <w:r>
        <w:t xml:space="preserve"> </w:t>
      </w:r>
      <w:r>
        <w:t xml:space="preserve">must ensure that all proposed strategies align with ASIC guidelines to prevent compliance breaches.</w:t>
      </w:r>
    </w:p>
    <w:bookmarkEnd w:id="23"/>
    <w:bookmarkStart w:id="24" w:name="fair-work-ombudsman"/>
    <w:p>
      <w:pPr>
        <w:pStyle w:val="Heading3"/>
      </w:pPr>
      <w:r>
        <w:t xml:space="preserve">4.2 Fair Work Ombudsman</w:t>
      </w:r>
    </w:p>
    <w:p>
      <w:pPr>
        <w:pStyle w:val="FirstParagraph"/>
      </w:pPr>
      <w:r>
        <w:t xml:space="preserve">Labor laws in Sydney are stringent. The consultant's role involves advising on modern awards, employment contracts, and workplace health and safety standards to mitigate legal risks for the client.</w:t>
      </w:r>
    </w:p>
    <w:bookmarkEnd w:id="24"/>
    <w:bookmarkStart w:id="25" w:name="taxation-laws"/>
    <w:p>
      <w:pPr>
        <w:pStyle w:val="Heading3"/>
      </w:pPr>
      <w:r>
        <w:t xml:space="preserve">4.3 Taxation Laws</w:t>
      </w:r>
    </w:p>
    <w:p>
      <w:pPr>
        <w:pStyle w:val="FirstParagraph"/>
      </w:pPr>
      <w:r>
        <w:t xml:space="preserve">Navigating the Australian Taxation Office (ATO) requirements is essential. This includes Goods and Services Tax (GST), PAYG withholding, and superannuation obligations, all of which are integral to the financial modeling performed by a</w:t>
      </w:r>
      <w:r>
        <w:t xml:space="preserve"> </w:t>
      </w:r>
      <w:r>
        <w:rPr>
          <w:bCs/>
          <w:b/>
        </w:rPr>
        <w:t xml:space="preserve">Business Consultant</w:t>
      </w:r>
      <w:r>
        <w:t xml:space="preserve">.</w:t>
      </w:r>
    </w:p>
    <w:bookmarkEnd w:id="25"/>
    <w:bookmarkEnd w:id="26"/>
    <w:bookmarkStart w:id="27" w:name="X5fd4cf9ed2fc91c81d4d9605f06253114f1997b"/>
    <w:p>
      <w:pPr>
        <w:pStyle w:val="Heading2"/>
      </w:pPr>
      <w:r>
        <w:t xml:space="preserve">5. Strategic Analyses</w:t>
      </w:r>
    </w:p>
    <w:p>
      <w:pPr>
        <w:pStyle w:val="FirstParagraph"/>
      </w:pPr>
      <w:r>
        <w:t xml:space="preserve">The core function of the consulting project involves deep-dive strategic analysis. Below is an outline of the primary analytical frameworks applied.</w:t>
      </w:r>
    </w:p>
    <w:p>
      <w:pPr>
        <w:pStyle w:val="BodyText"/>
      </w:pPr>
      <w:r>
        <w:t xml:space="preserve">Analytical Tool</w:t>
      </w:r>
    </w:p>
    <w:p>
      <w:pPr>
        <w:pStyle w:val="BodyText"/>
      </w:pPr>
      <w:r>
        <w:t xml:space="preserve">Description</w:t>
      </w:r>
    </w:p>
    <w:p>
      <w:pPr>
        <w:pStyle w:val="BodyText"/>
      </w:pPr>
      <w:r>
        <w:t xml:space="preserve">Application in Australia Sydney</w:t>
      </w:r>
    </w:p>
    <w:p>
      <w:pPr>
        <w:pStyle w:val="BodyText"/>
      </w:pPr>
      <w:r>
        <w:rPr>
          <w:bCs/>
          <w:b/>
        </w:rPr>
        <w:t xml:space="preserve">PESTLE Analysis</w:t>
      </w:r>
    </w:p>
    <w:p>
      <w:pPr>
        <w:pStyle w:val="BodyText"/>
      </w:pPr>
      <w:r>
        <w:t xml:space="preserve">Evaluates external factors affecting the business.</w:t>
      </w:r>
    </w:p>
    <w:p>
      <w:pPr>
        <w:pStyle w:val="BodyText"/>
      </w:pPr>
      <w:r>
        <w:t xml:space="preserve">Includes assessment of NSW environmental regulations, federal immigration policies impacting skilled labor, and local property market trends in Sydney.</w:t>
      </w:r>
    </w:p>
    <w:p>
      <w:pPr>
        <w:pStyle w:val="BodyText"/>
      </w:pPr>
      <w:r>
        <w:rPr>
          <w:bCs/>
          <w:b/>
        </w:rPr>
        <w:t xml:space="preserve">Porter’s Five Forces</w:t>
      </w:r>
    </w:p>
    <w:p>
      <w:pPr>
        <w:pStyle w:val="BodyText"/>
      </w:pPr>
      <w:r>
        <w:t xml:space="preserve">Analyzes competitive forces within the industry.</w:t>
      </w:r>
    </w:p>
    <w:p>
      <w:pPr>
        <w:pStyle w:val="BodyText"/>
      </w:pPr>
      <w:r>
        <w:t xml:space="preserve">&lt;</w:t>
      </w:r>
    </w:p>
    <w:p>
      <w:pPr>
        <w:pStyle w:val="BodyText"/>
      </w:pPr>
      <w:r>
        <w:t xml:space="preserve">Evaluates the intense competition in Sydney’s tech and finance sectors, bargaining power of suppliers, and threat of new market entrants.</w:t>
      </w:r>
    </w:p>
    <w:p>
      <w:pPr>
        <w:pStyle w:val="BodyText"/>
      </w:pPr>
      <w:r>
        <w:rPr>
          <w:bCs/>
          <w:b/>
        </w:rPr>
        <w:t xml:space="preserve">Balanced Scorecard</w:t>
      </w:r>
    </w:p>
    <w:p>
      <w:pPr>
        <w:pStyle w:val="BodyText"/>
      </w:pPr>
      <w:r>
        <w:t xml:space="preserve">A strategic planning management system.</w:t>
      </w:r>
    </w:p>
    <w:p>
      <w:pPr>
        <w:pStyle w:val="BodyText"/>
      </w:pPr>
      <w:r>
        <w:t xml:space="preserve">Used to translate the vision of the client into actionable metrics, ensuring alignment between financial goals and customer satisfaction in the local market.</w:t>
      </w:r>
    </w:p>
    <w:bookmarkEnd w:id="27"/>
    <w:bookmarkStart w:id="30" w:name="X65d4d46886595b65befd4a9a04fd2e70e33685b"/>
    <w:p>
      <w:pPr>
        <w:pStyle w:val="Heading2"/>
      </w:pPr>
      <w:r>
        <w:t xml:space="preserve">6. Economic Context of Australia Sydney</w:t>
      </w:r>
    </w:p>
    <w:p>
      <w:pPr>
        <w:pStyle w:val="FirstParagraph"/>
      </w:pPr>
      <w:r>
        <w:t xml:space="preserve">The economic environment of</w:t>
      </w:r>
      <w:r>
        <w:t xml:space="preserve"> </w:t>
      </w:r>
      <w:r>
        <w:rPr>
          <w:bCs/>
          <w:b/>
        </w:rPr>
        <w:t xml:space="preserve">Australia Sydney</w:t>
      </w:r>
      <w:r>
        <w:t xml:space="preserve"> </w:t>
      </w:r>
      <w:r>
        <w:t xml:space="preserve">is characterized by high operational costs, particularly regarding real estate and labor. However, it also offers access to robust infrastructure and a highly skilled workforce.</w:t>
      </w:r>
    </w:p>
    <w:bookmarkStart w:id="28" w:name="real-estate-dynamics"/>
    <w:p>
      <w:pPr>
        <w:pStyle w:val="Heading3"/>
      </w:pPr>
      <w:r>
        <w:t xml:space="preserve">6.1 Real Estate Dynamics</w:t>
      </w:r>
    </w:p>
    <w:p>
      <w:pPr>
        <w:pStyle w:val="FirstParagraph"/>
      </w:pPr>
      <w:r>
        <w:t xml:space="preserve">Sydney consistently ranks among the most expensive cities globally for commercial leasing. A</w:t>
      </w:r>
      <w:r>
        <w:t xml:space="preserve"> </w:t>
      </w:r>
      <w:r>
        <w:rPr>
          <w:bCs/>
          <w:b/>
        </w:rPr>
        <w:t xml:space="preserve">Business Consultant</w:t>
      </w:r>
      <w:r>
        <w:t xml:space="preserve"> </w:t>
      </w:r>
      <w:r>
        <w:t xml:space="preserve">must advise clients on optimal location strategies, considering the CBD vs. suburban hubs like Parramatta, which offers significant incentives for business establishment.</w:t>
      </w:r>
    </w:p>
    <w:bookmarkEnd w:id="28"/>
    <w:bookmarkStart w:id="29" w:name="interest-rates-and-inflation"/>
    <w:p>
      <w:pPr>
        <w:pStyle w:val="Heading3"/>
      </w:pPr>
      <w:r>
        <w:t xml:space="preserve">6.2 Interest Rates and Inflation</w:t>
      </w:r>
    </w:p>
    <w:p>
      <w:pPr>
        <w:pStyle w:val="FirstParagraph"/>
      </w:pPr>
      <w:r>
        <w:t xml:space="preserve">Movements by the Reserve Bank of Australia (RBA) directly impact borrowing costs for businesses operating in Sydney. Consultants must model various interest rate scenarios to ensure long-term financial sustainability.</w:t>
      </w:r>
    </w:p>
    <w:bookmarkEnd w:id="29"/>
    <w:bookmarkEnd w:id="30"/>
    <w:bookmarkStart w:id="31" w:name="X6c0db2452b28c2e4fbc4b5ac992fbd0c491c518"/>
    <w:p>
      <w:pPr>
        <w:pStyle w:val="Heading2"/>
      </w:pPr>
      <w:r>
        <w:t xml:space="preserve">7. Cultural Considerations</w:t>
      </w:r>
    </w:p>
    <w:p>
      <w:pPr>
        <w:pStyle w:val="FirstParagraph"/>
      </w:pPr>
      <w:r>
        <w:t xml:space="preserve">Succesful consulting requires more than just analytical rigor; it demands cultural intelligence. In</w:t>
      </w:r>
      <w:r>
        <w:t xml:space="preserve"> </w:t>
      </w:r>
      <w:r>
        <w:rPr>
          <w:bCs/>
          <w:b/>
        </w:rPr>
        <w:t xml:space="preserve">Australia Sydney</w:t>
      </w:r>
      <w:r>
        <w:t xml:space="preserve">, business culture is generally informal yet professional. Key traits include:</w:t>
      </w:r>
    </w:p>
    <w:p>
      <w:pPr>
        <w:numPr>
          <w:ilvl w:val="0"/>
          <w:numId w:val="1002"/>
        </w:numPr>
        <w:pStyle w:val="Compact"/>
      </w:pPr>
      <w:r>
        <w:rPr>
          <w:bCs/>
          <w:b/>
        </w:rPr>
        <w:t xml:space="preserve">Direct Communication:</w:t>
      </w:r>
      <w:r>
        <w:t xml:space="preserve"> </w:t>
      </w:r>
      <w:r>
        <w:t xml:space="preserve">Stakeholders value straightforward, concise information without excessive bureaucracy.</w:t>
      </w:r>
    </w:p>
    <w:p>
      <w:pPr>
        <w:numPr>
          <w:ilvl w:val="0"/>
          <w:numId w:val="1002"/>
        </w:numPr>
        <w:pStyle w:val="Compact"/>
      </w:pPr>
      <w:r>
        <w:rPr>
          <w:bCs/>
          <w:b/>
        </w:rPr>
        <w:t xml:space="preserve">Social Responsibility:</w:t>
      </w:r>
      <w:r>
        <w:t xml:space="preserve"> </w:t>
      </w:r>
      <w:r>
        <w:t xml:space="preserve">There is a growing emphasis on Environmental, Social, and Governance (ESG) criteria. A modern</w:t>
      </w:r>
      <w:r>
        <w:t xml:space="preserve"> </w:t>
      </w:r>
      <w:r>
        <w:rPr>
          <w:bCs/>
          <w:b/>
        </w:rPr>
        <w:t xml:space="preserve">Business Consultant</w:t>
      </w:r>
      <w:r>
        <w:t xml:space="preserve"> </w:t>
      </w:r>
      <w:r>
        <w:t xml:space="preserve">must integrate sustainability into business models to meet community expectations.</w:t>
      </w:r>
    </w:p>
    <w:p>
      <w:pPr>
        <w:numPr>
          <w:ilvl w:val="0"/>
          <w:numId w:val="1002"/>
        </w:numPr>
        <w:pStyle w:val="Compact"/>
      </w:pPr>
      <w:r>
        <w:rPr>
          <w:bCs/>
          <w:b/>
        </w:rPr>
        <w:t xml:space="preserve">Diversity and Inclusion:</w:t>
      </w:r>
      <w:r>
        <w:t xml:space="preserve"> </w:t>
      </w:r>
      <w:r>
        <w:t xml:space="preserve">Sydney is a multicultural hub. Strategies must reflect inclusivity to leverage diverse perspectives and tap into varied consumer bases.</w:t>
      </w:r>
    </w:p>
    <w:bookmarkEnd w:id="31"/>
    <w:bookmarkStart w:id="32" w:name="X7696241512ac9980e1f808b11c8b2d93fd2e5cb"/>
    <w:p>
      <w:pPr>
        <w:pStyle w:val="Heading2"/>
      </w:pPr>
      <w:r>
        <w:t xml:space="preserve">8. Challenges and Risk Mitigation</w:t>
      </w:r>
    </w:p>
    <w:p>
      <w:pPr>
        <w:pStyle w:val="FirstParagraph"/>
      </w:pPr>
      <w:r>
        <w:t xml:space="preserve">The implementation of consulting recommendations in</w:t>
      </w:r>
      <w:r>
        <w:t xml:space="preserve"> </w:t>
      </w:r>
      <w:r>
        <w:rPr>
          <w:bCs/>
          <w:b/>
        </w:rPr>
        <w:t xml:space="preserve">Australia Sydney</w:t>
      </w:r>
      <w:r>
        <w:t xml:space="preserve"> </w:t>
      </w:r>
      <w:r>
        <w:t xml:space="preserve">is not without risks. Key challenges identified include:</w:t>
      </w:r>
    </w:p>
    <w:p>
      <w:pPr>
        <w:numPr>
          <w:ilvl w:val="0"/>
          <w:numId w:val="1003"/>
        </w:numPr>
        <w:pStyle w:val="Compact"/>
      </w:pPr>
      <w:r>
        <w:rPr>
          <w:bCs/>
          <w:b/>
        </w:rPr>
        <w:t xml:space="preserve">Talent Shortages:</w:t>
      </w:r>
      <w:r>
        <w:t xml:space="preserve"> </w:t>
      </w:r>
      <w:r>
        <w:t xml:space="preserve">Specific sectors face labor shortages. Consultants must recommend robust retention strategies and upskilling programs.</w:t>
      </w:r>
    </w:p>
    <w:p>
      <w:pPr>
        <w:numPr>
          <w:ilvl w:val="0"/>
          <w:numId w:val="1003"/>
        </w:numPr>
        <w:pStyle w:val="Compact"/>
      </w:pPr>
      <w:r>
        <w:rPr>
          <w:bCs/>
          <w:b/>
        </w:rPr>
        <w:t xml:space="preserve">Digital Transformation Gaps:</w:t>
      </w:r>
      <w:r>
        <w:t xml:space="preserve"> </w:t>
      </w:r>
      <w:r>
        <w:t xml:space="preserve">Many legacy businesses struggle with digital integration. The consultant’s role is to bridge this gap through phased technological adoption.</w:t>
      </w:r>
    </w:p>
    <w:p>
      <w:pPr>
        <w:numPr>
          <w:ilvl w:val="0"/>
          <w:numId w:val="1003"/>
        </w:numPr>
        <w:pStyle w:val="Compact"/>
      </w:pPr>
      <w:r>
        <w:rPr>
          <w:bCs/>
          <w:b/>
        </w:rPr>
        <w:t xml:space="preserve">Economic Volatility:</w:t>
      </w:r>
      <w:r>
        <w:t xml:space="preserve"> </w:t>
      </w:r>
      <w:r>
        <w:t xml:space="preserve">External shocks can rapidly alter market conditions. Agile planning frameworks are recommended to maintain resilience.</w:t>
      </w:r>
    </w:p>
    <w:bookmarkEnd w:id="32"/>
    <w:bookmarkStart w:id="33" w:name="Xb0bdabfd985bdceae011b8d1a93980856ad808e"/>
    <w:p>
      <w:pPr>
        <w:pStyle w:val="Heading2"/>
      </w:pPr>
      <w:r>
        <w:t xml:space="preserve">9. Recommendations</w:t>
      </w:r>
    </w:p>
    <w:p>
      <w:pPr>
        <w:pStyle w:val="FirstParagraph"/>
      </w:pPr>
      <w:r>
        <w:t xml:space="preserve">Based on the findings of this lab report, the following recommendations are proposed for entities seeking consulting services in this region:</w:t>
      </w:r>
    </w:p>
    <w:p>
      <w:pPr>
        <w:numPr>
          <w:ilvl w:val="0"/>
          <w:numId w:val="1004"/>
        </w:numPr>
        <w:pStyle w:val="Compact"/>
      </w:pPr>
      <w:r>
        <w:rPr>
          <w:bCs/>
          <w:b/>
        </w:rPr>
        <w:t xml:space="preserve">Select Local Expertise:</w:t>
      </w:r>
      <w:r>
        <w:t xml:space="preserve"> </w:t>
      </w:r>
      <w:r>
        <w:t xml:space="preserve">Ensure the</w:t>
      </w:r>
      <w:r>
        <w:t xml:space="preserve"> </w:t>
      </w:r>
      <w:r>
        <w:rPr>
          <w:bCs/>
          <w:b/>
        </w:rPr>
        <w:t xml:space="preserve">Business Consultant</w:t>
      </w:r>
      <w:r>
        <w:t xml:space="preserve"> </w:t>
      </w:r>
      <w:r>
        <w:t xml:space="preserve">has proven experience specifically within the New South Wales jurisdiction, rather than relying on generic global frameworks.</w:t>
      </w:r>
    </w:p>
    <w:p>
      <w:pPr>
        <w:numPr>
          <w:ilvl w:val="0"/>
          <w:numId w:val="1004"/>
        </w:numPr>
        <w:pStyle w:val="Compact"/>
      </w:pPr>
      <w:r>
        <w:rPr>
          <w:bCs/>
          <w:b/>
        </w:rPr>
        <w:t xml:space="preserve">Prioritize Compliance:</w:t>
      </w:r>
      <w:r>
        <w:t xml:space="preserve"> </w:t>
      </w:r>
      <w:r>
        <w:t xml:space="preserve">Build compliance checks into every stage of the strategic planning process to avoid penalties from ASIC or other regulators.</w:t>
      </w:r>
    </w:p>
    <w:p>
      <w:pPr>
        <w:numPr>
          <w:ilvl w:val="0"/>
          <w:numId w:val="1004"/>
        </w:numPr>
        <w:pStyle w:val="Compact"/>
      </w:pPr>
      <w:r>
        <w:rPr>
          <w:bCs/>
          <w:b/>
        </w:rPr>
        <w:t xml:space="preserve">Leverage Digital Tools:</w:t>
      </w:r>
      <w:r>
        <w:t xml:space="preserve"> </w:t>
      </w:r>
      <w:r>
        <w:t xml:space="preserve">Utilize advanced data analytics to understand local consumer behavior in Sydney, ensuring marketing and operational strategies are data-driven.</w:t>
      </w:r>
    </w:p>
    <w:p>
      <w:pPr>
        <w:numPr>
          <w:ilvl w:val="0"/>
          <w:numId w:val="1004"/>
        </w:numPr>
        <w:pStyle w:val="Compact"/>
      </w:pPr>
      <w:r>
        <w:rPr>
          <w:bCs/>
          <w:b/>
        </w:rPr>
        <w:t xml:space="preserve">Foster Community Engagement:</w:t>
      </w:r>
      <w:r>
        <w:t xml:space="preserve"> </w:t>
      </w:r>
      <w:r>
        <w:t xml:space="preserve">Engage with local business councils and chambers of commerce in Sydney to build networks and gain insights into emerging opportunities.</w:t>
      </w:r>
    </w:p>
    <w:bookmarkEnd w:id="33"/>
    <w:bookmarkStart w:id="34" w:name="Xc72408c88f6aa3f318e9c4f077d22b48a39071f"/>
    <w:p>
      <w:pPr>
        <w:pStyle w:val="Heading2"/>
      </w:pPr>
      <w:r>
        <w:t xml:space="preserve">10. Conclusion</w:t>
      </w:r>
    </w:p>
    <w:p>
      <w:pPr>
        <w:pStyle w:val="FirstParagraph"/>
      </w:pPr>
      <w:r>
        <w:t xml:space="preserve">In conclusion, the role of a Business Consultant in Australia Sydney is multifaceted, requiring a blend of strategic foresight, regulatory knowledge, and cultural sensitivity.</w:t>
      </w:r>
    </w:p>
    <w:p>
      <w:pPr>
        <w:pStyle w:val="BodyText"/>
      </w:pPr>
      <w:r>
        <w:t xml:space="preserve">The analysis demonstrates that while the market presents significant challenges regarding cost and competition, it also offers unparalleled opportunities for growth and innovation. By adhering to the methodologies outlined in this report and maintaining a strict focus on local compliance and stakeholder engagement, businesses can achieve sustainable success. This Lab Report confirms that effective consulting is not merely about providing advice but about facilitating a comprehensive transformation tailored to the unique ecosystem of</w:t>
      </w:r>
      <w:r>
        <w:t xml:space="preserve"> </w:t>
      </w:r>
      <w:r>
        <w:rPr>
          <w:bCs/>
          <w:b/>
        </w:rPr>
        <w:t xml:space="preserve">Australia Sydney</w:t>
      </w:r>
      <w:r>
        <w:t xml:space="preserve">. Future research should focus on the long-term impacts of remote work policies on Sydney’s commercial real estate sector and how consultants can adapt strategies to accommodate hybrid working models.</w:t>
      </w:r>
    </w:p>
    <w:p>
      <w:r>
        <w:pict>
          <v:rect style="width:0;height:1.5pt" o:hralign="center" o:hrstd="t" o:hr="t"/>
        </w:pict>
      </w:r>
    </w:p>
    <w:p>
      <w:pPr>
        <w:pStyle w:val="FirstParagraph"/>
      </w:pPr>
      <w:r>
        <w:rPr>
          <w:iCs/>
          <w:i/>
        </w:rPr>
        <w:t xml:space="preserve">Disclaimer: This document is a simulated Lab Report for educational and structural demonstration purposes. It does not constitute legal or financial advice.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Framework for Australia Sydney</dc:title>
  <dc:creator/>
  <dc:language>en</dc:language>
  <cp:keywords/>
  <dcterms:created xsi:type="dcterms:W3CDTF">2026-07-30T04:10:34Z</dcterms:created>
  <dcterms:modified xsi:type="dcterms:W3CDTF">2026-07-30T04:10:34Z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