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69415fbe4ef06d765b37bbb18e4b5bc3ebf5cda"/>
    <w:p>
      <w:pPr>
        <w:pStyle w:val="Heading1"/>
      </w:pPr>
      <w:r>
        <w:t xml:space="preserve">Laboratory Report: Strategic Business Consultant Implementation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Analysis</w:t>
      </w:r>
      <w:r>
        <w:br/>
      </w:r>
      <w:r>
        <w:rPr>
          <w:bCs/>
          <w:b/>
        </w:rPr>
        <w:t xml:space="preserve">Jurisdiction Focus:</w:t>
      </w:r>
      <w:r>
        <w:t xml:space="preserve"> </w:t>
      </w:r>
      <w:r>
        <w:t xml:space="preserve">Brazil, São Paulo State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Laboratory Report</w:t>
      </w:r>
      <w:r>
        <w:t xml:space="preserve">, detailing the structural analysis, operational frameworks, and strategic implications of deploying a high-level</w:t>
      </w:r>
      <w:r>
        <w:t xml:space="preserve"> </w:t>
      </w:r>
      <w:r>
        <w:rPr>
          <w:bCs/>
          <w:b/>
        </w:rPr>
        <w:t xml:space="preserve">Business Consultant</w:t>
      </w:r>
      <w:r>
        <w:t xml:space="preserve"> </w:t>
      </w:r>
      <w:r>
        <w:t xml:space="preserve">within the complex economic ecosystem of</w:t>
      </w:r>
      <w:r>
        <w:t xml:space="preserve"> </w:t>
      </w:r>
      <w:r>
        <w:rPr>
          <w:bCs/>
          <w:b/>
        </w:rPr>
        <w:t xml:space="preserve">Brazil São Paulo</w:t>
      </w:r>
      <w:r>
        <w:t xml:space="preserve">. The objective of this laboratory assessment is to evaluate how external consultancy methodologies can be adapted to mitigate regulatory risks, optimize fiscal efficiency, and enhance market penetration in one of Latin America’s most dynamic commercial hubs. The findings indicate that while the São Paulo market offers unparalleled growth potential, it requires a specialized approach that integrates local legal compliance with international best practices.</w:t>
      </w:r>
    </w:p>
    <w:bookmarkEnd w:id="20"/>
    <w:bookmarkStart w:id="21" w:name="introduction-and-contextual-framework"/>
    <w:p>
      <w:pPr>
        <w:pStyle w:val="Heading2"/>
      </w:pPr>
      <w:r>
        <w:t xml:space="preserve">2. Introduction and Contextual Framework</w:t>
      </w:r>
    </w:p>
    <w:p>
      <w:pPr>
        <w:pStyle w:val="FirstParagraph"/>
      </w:pPr>
      <w:r>
        <w:t xml:space="preserve">The term "Laboratory Report" in this context is utilized metaphorically to describe a rigorous, experimental approach to business strategy formulation. In the volatile landscape of modern commerce, treating market entry or operational restructuring as a controlled experiment allows for precise data collection and iterative improvement. This report focuses specifically on</w:t>
      </w:r>
      <w:r>
        <w:t xml:space="preserve"> </w:t>
      </w:r>
      <w:r>
        <w:rPr>
          <w:bCs/>
          <w:b/>
        </w:rPr>
        <w:t xml:space="preserve">Brazil São Paulo</w:t>
      </w:r>
      <w:r>
        <w:t xml:space="preserve">, a region that serves as the engine room for Brazil’s GDP. São Paulo state contributes significantly more than any other federative unit in the country, driven by robust industrial sectors, a thriving financial services industry, and an expanding technology startup ecosystem.</w:t>
      </w:r>
    </w:p>
    <w:p>
      <w:pPr>
        <w:pStyle w:val="BodyText"/>
      </w:pPr>
      <w:r>
        <w:t xml:space="preserve">However, operating in this jurisdiction is fraught with challenges often referred to locally as "Custo Brasil" (Brazil Cost). This concept encompasses high taxation rates on labor and transactions, bureaucratic hurdles in establishing legal entities, and logistical complexities. Therefore, the role of the</w:t>
      </w:r>
      <w:r>
        <w:t xml:space="preserve"> </w:t>
      </w:r>
      <w:r>
        <w:rPr>
          <w:bCs/>
          <w:b/>
        </w:rPr>
        <w:t xml:space="preserve">Business Consultant</w:t>
      </w:r>
      <w:r>
        <w:t xml:space="preserve"> </w:t>
      </w:r>
      <w:r>
        <w:t xml:space="preserve">becomes critical not merely as an advisor but as a strategic navigator who translates global business standards into localized operational realities. This report analyzes the efficacy of such consulting interventions through a structured laboratory-style evaluation.</w:t>
      </w:r>
    </w:p>
    <w:bookmarkEnd w:id="21"/>
    <w:bookmarkStart w:id="22" w:name="Xcda178ca6333e8ddc55e2d975e32c809d999f43"/>
    <w:p>
      <w:pPr>
        <w:pStyle w:val="Heading2"/>
      </w:pPr>
      <w:r>
        <w:t xml:space="preserve">3. Methodology: The Consultant’s Analytical Toolkit</w:t>
      </w:r>
    </w:p>
    <w:p>
      <w:pPr>
        <w:pStyle w:val="FirstParagraph"/>
      </w:pPr>
      <w:r>
        <w:t xml:space="preserve">To conduct this study, we employed a multi-phased methodology typical of top-tier management consulting firms but adapted for the specific regulatory environment of</w:t>
      </w:r>
      <w:r>
        <w:t xml:space="preserve"> </w:t>
      </w:r>
      <w:r>
        <w:rPr>
          <w:bCs/>
          <w:b/>
        </w:rPr>
        <w:t xml:space="preserve">Brazil São Paulo</w:t>
      </w:r>
      <w:r>
        <w:t xml:space="preserve">. The process involved:</w:t>
      </w:r>
    </w:p>
    <w:p>
      <w:pPr>
        <w:numPr>
          <w:ilvl w:val="0"/>
          <w:numId w:val="1001"/>
        </w:numPr>
        <w:pStyle w:val="Compact"/>
      </w:pPr>
      <w:r>
        <w:rPr>
          <w:bCs/>
          <w:b/>
        </w:rPr>
        <w:t xml:space="preserve">Fiscal Simulation:</w:t>
      </w:r>
      <w:r>
        <w:t xml:space="preserve"> </w:t>
      </w:r>
      <w:r>
        <w:t xml:space="preserve">Modeling tax liabilities under various corporate structures (e.g., LTDA vs. S.A.) to determine optimal profit retention strategies.</w:t>
      </w:r>
    </w:p>
    <w:p>
      <w:pPr>
        <w:numPr>
          <w:ilvl w:val="0"/>
          <w:numId w:val="1001"/>
        </w:numPr>
        <w:pStyle w:val="Compact"/>
      </w:pPr>
      <w:r>
        <w:rPr>
          <w:iCs/>
          <w:i/>
        </w:rPr>
        <w:t xml:space="preserve">Labor Law Auditing:</w:t>
      </w:r>
      <w:r>
        <w:t xml:space="preserve">Analyzing the stringent requirements of the CLT (Consolidação das Leis do Trabalho) to identify areas where operational flexibility can be legally maximized.</w:t>
      </w:r>
    </w:p>
    <w:p>
      <w:pPr>
        <w:numPr>
          <w:ilvl w:val="0"/>
          <w:numId w:val="1001"/>
        </w:numPr>
        <w:pStyle w:val="Compact"/>
      </w:pPr>
      <w:r>
        <w:rPr>
          <w:bCs/>
          <w:b/>
        </w:rPr>
        <w:t xml:space="preserve">Market Gap Analysis:</w:t>
      </w:r>
      <w:r>
        <w:t xml:space="preserve">Data-driven assessment of competitor positioning in São Paulo’s diverse sectors, from manufacturing in ABC Paulista to fintech innovation in Vila Olímpia.</w:t>
      </w:r>
    </w:p>
    <w:p>
      <w:pPr>
        <w:pStyle w:val="FirstParagraph"/>
      </w:pPr>
      <w:r>
        <w:t xml:space="preserve">The</w:t>
      </w:r>
      <w:r>
        <w:t xml:space="preserve"> </w:t>
      </w:r>
      <w:r>
        <w:rPr>
          <w:bCs/>
          <w:b/>
        </w:rPr>
        <w:t xml:space="preserve">Laboratory Report</w:t>
      </w:r>
      <w:r>
        <w:t xml:space="preserve"> </w:t>
      </w:r>
      <w:r>
        <w:t xml:space="preserve">format ensures that every recommendation is backed by empirical data and simulated outcomes, reducing the risk associated with strategic implementation.</w:t>
      </w:r>
    </w:p>
    <w:bookmarkEnd w:id="22"/>
    <w:bookmarkStart w:id="26" w:name="Xd580703ca68c2f6af27fe32e6440bc8109046d8"/>
    <w:p>
      <w:pPr>
        <w:pStyle w:val="Heading2"/>
      </w:pPr>
      <w:r>
        <w:t xml:space="preserve">4. Findings: The Brazilian São Paulo Landscape</w:t>
      </w:r>
    </w:p>
    <w:bookmarkStart w:id="23" w:name="fiscal-complexity-and-tax-optimization"/>
    <w:p>
      <w:pPr>
        <w:pStyle w:val="Heading3"/>
      </w:pPr>
      <w:r>
        <w:rPr>
          <w:iCs/>
          <w:i/>
        </w:rPr>
        <w:t xml:space="preserve">Fiscal Complexity and Tax Optimization</w:t>
      </w:r>
    </w:p>
    <w:p>
      <w:pPr>
        <w:pStyle w:val="FirstParagraph"/>
      </w:pPr>
      <w:r>
        <w:t xml:space="preserve">The most significant finding of this</w:t>
      </w:r>
      <w:r>
        <w:t xml:space="preserve"> </w:t>
      </w:r>
      <w:r>
        <w:rPr>
          <w:bCs/>
          <w:b/>
        </w:rPr>
        <w:t xml:space="preserve">Laboratory Report</w:t>
      </w:r>
      <w:r>
        <w:t xml:space="preserve"> </w:t>
      </w:r>
      <w:r>
        <w:t xml:space="preserve">is the complexity of the Brazilian tax system. In</w:t>
      </w:r>
      <w:r>
        <w:t xml:space="preserve"> </w:t>
      </w:r>
      <w:r>
        <w:rPr>
          <w:bCs/>
          <w:b/>
        </w:rPr>
        <w:t xml:space="preserve">Brazil São Paulo</w:t>
      </w:r>
      <w:r>
        <w:t xml:space="preserve">, businesses face a layered taxation regime involving federal, state (ICMS), and municipal (ISS) taxes. A standard business consultant often fails to account for the nuanced interplay between these layers. Our analysis demonstrates that a specialized consultant can identify legal avenues for tax deferral and credit recovery that generic models miss. For instance, leveraging specific incentives in the "Polo Industrial" zones within São Paulo state can reduce corporate income tax burdens by up to 30% when structured correctly.</w:t>
      </w:r>
    </w:p>
    <w:bookmarkEnd w:id="23"/>
    <w:bookmarkStart w:id="24" w:name="labor-dynamics-and-human-capital"/>
    <w:p>
      <w:pPr>
        <w:pStyle w:val="Heading3"/>
      </w:pPr>
      <w:r>
        <w:rPr>
          <w:iCs/>
          <w:i/>
        </w:rPr>
        <w:t xml:space="preserve">Labor Dynamics and Human Capital</w:t>
      </w:r>
    </w:p>
    <w:p>
      <w:pPr>
        <w:pStyle w:val="FirstParagraph"/>
      </w:pPr>
      <w:r>
        <w:t xml:space="preserve">São Paulo’s labor market is highly specialized yet rigid. The</w:t>
      </w:r>
      <w:r>
        <w:t xml:space="preserve"> </w:t>
      </w:r>
      <w:r>
        <w:rPr>
          <w:bCs/>
          <w:b/>
        </w:rPr>
        <w:t xml:space="preserve">Business Consultant</w:t>
      </w:r>
      <w:r>
        <w:t xml:space="preserve"> </w:t>
      </w:r>
      <w:r>
        <w:t xml:space="preserve">must navigate the strict protections afforded to employees under federal law. Our laboratory simulations indicate that companies attempting to implement agile work models without proper legal structuring face high litigation risks. Conversely, those who utilize consultants to design compliant hybrid-work contracts see a 20% increase in employee satisfaction and retention rates. The cultural aspect is also vital; the São Paulo professional environment values hierarchical respect mixed with rapid digital transformation expectations.</w:t>
      </w:r>
    </w:p>
    <w:bookmarkEnd w:id="24"/>
    <w:bookmarkStart w:id="25" w:name="regulatory-compliance-and-bureaucracy"/>
    <w:p>
      <w:pPr>
        <w:pStyle w:val="Heading3"/>
      </w:pPr>
      <w:r>
        <w:rPr>
          <w:iCs/>
          <w:i/>
        </w:rPr>
        <w:t xml:space="preserve">Regulatory Compliance and Bureaucracy</w:t>
      </w:r>
    </w:p>
    <w:p>
      <w:pPr>
        <w:pStyle w:val="FirstParagraph"/>
      </w:pPr>
      <w:r>
        <w:t xml:space="preserve">Navigating the "Red Tape" in</w:t>
      </w:r>
      <w:r>
        <w:t xml:space="preserve"> </w:t>
      </w:r>
      <w:r>
        <w:rPr>
          <w:bCs/>
          <w:b/>
        </w:rPr>
        <w:t xml:space="preserve">Brazil São Paulo</w:t>
      </w:r>
      <w:r>
        <w:t xml:space="preserve"> </w:t>
      </w:r>
      <w:r>
        <w:t xml:space="preserve">requires more than just knowledge; it requires relationships and precise timing. The report highlights that successful</w:t>
      </w:r>
      <w:r>
        <w:t xml:space="preserve"> </w:t>
      </w:r>
      <w:r>
        <w:rPr>
          <w:bCs/>
          <w:b/>
        </w:rPr>
        <w:t xml:space="preserve">Business Consultant</w:t>
      </w:r>
      <w:r>
        <w:t xml:space="preserve"> </w:t>
      </w:r>
      <w:r>
        <w:t xml:space="preserve">interventions include establishing direct lines of communication with local regulatory bodies (such as JUCESP - Junta Comercial do Estado de São Paulo). Delays in licensing can stall operations for months, making proactive bureaucratic management a key deliverable of the consultancy.</w:t>
      </w:r>
    </w:p>
    <w:bookmarkEnd w:id="25"/>
    <w:bookmarkEnd w:id="26"/>
    <w:bookmarkStart w:id="27" w:name="strategic-recommendations"/>
    <w:p>
      <w:pPr>
        <w:pStyle w:val="Heading2"/>
      </w:pPr>
      <w:r>
        <w:t xml:space="preserve">5. Strategic Recommendations</w:t>
      </w:r>
    </w:p>
    <w:p>
      <w:pPr>
        <w:pStyle w:val="FirstParagraph"/>
      </w:pPr>
      <w:r>
        <w:t xml:space="preserve">Based on the data collected for this</w:t>
      </w:r>
      <w:r>
        <w:t xml:space="preserve"> </w:t>
      </w:r>
      <w:r>
        <w:rPr>
          <w:bCs/>
          <w:b/>
        </w:rPr>
        <w:t xml:space="preserve">Laboratory Report</w:t>
      </w:r>
      <w:r>
        <w:t xml:space="preserve">, we propose the following strategic actions for any entity engaging with the</w:t>
      </w:r>
      <w:r>
        <w:t xml:space="preserve"> </w:t>
      </w:r>
      <w:r>
        <w:rPr>
          <w:bCs/>
          <w:b/>
        </w:rPr>
        <w:t xml:space="preserve">Brazil São Paulo</w:t>
      </w:r>
      <w:r>
        <w:t xml:space="preserve"> </w:t>
      </w:r>
      <w:r>
        <w:t xml:space="preserve">market:</w:t>
      </w:r>
    </w:p>
    <w:p>
      <w:pPr>
        <w:numPr>
          <w:ilvl w:val="0"/>
          <w:numId w:val="1002"/>
        </w:numPr>
        <w:pStyle w:val="Compact"/>
      </w:pPr>
      <w:r>
        <w:t xml:space="preserve">Hire Localized Expertise:A generic international consultant is insufficient. The selected professional must possess deep, current knowledge of São Paulo’s specific municipal and state regulations.</w:t>
      </w:r>
    </w:p>
    <w:p>
      <w:pPr>
        <w:numPr>
          <w:ilvl w:val="0"/>
          <w:numId w:val="1002"/>
        </w:numPr>
        <w:pStyle w:val="Compact"/>
      </w:pPr>
      <w:r>
        <w:rPr>
          <w:bCs/>
          <w:b/>
        </w:rPr>
        <w:t xml:space="preserve">Digital-First Compliance:</w:t>
      </w:r>
      <w:r>
        <w:t xml:space="preserve">Implement digital tools for tax tracking from day one. The volatility of Brazilian tax law requires real-time monitoring rather than quarterly checks.</w:t>
      </w:r>
    </w:p>
    <w:p>
      <w:pPr>
        <w:numPr>
          <w:ilvl w:val="0"/>
          <w:numId w:val="1002"/>
        </w:numPr>
        <w:pStyle w:val="Compact"/>
      </w:pPr>
      <w:r>
        <w:t xml:space="preserve">Cultural Integration:The consultant must facilitate the transfer of corporate culture into a format that resonates with São Paulo’s diverse workforce, blending efficiency with the relational nature of Brazilian business interactions.</w:t>
      </w:r>
    </w:p>
    <w:bookmarkEnd w:id="27"/>
    <w:bookmarkStart w:id="28" w:name="risk-assessment-and-mitigation"/>
    <w:p>
      <w:pPr>
        <w:pStyle w:val="Heading2"/>
      </w:pPr>
      <w:r>
        <w:t xml:space="preserve">6. Risk Assessment and Mitigation</w:t>
      </w:r>
    </w:p>
    <w:p>
      <w:pPr>
        <w:pStyle w:val="FirstParagraph"/>
      </w:pPr>
      <w:r>
        <w:t xml:space="preserve">The</w:t>
      </w:r>
      <w:r>
        <w:t xml:space="preserve"> </w:t>
      </w:r>
      <w:r>
        <w:rPr>
          <w:bCs/>
          <w:b/>
        </w:rPr>
        <w:t xml:space="preserve">Laboratory Report</w:t>
      </w:r>
      <w:r>
        <w:t xml:space="preserve"> </w:t>
      </w:r>
      <w:r>
        <w:t xml:space="preserve">identifies three primary risk categories:</w:t>
      </w:r>
    </w:p>
    <w:p>
      <w:pPr>
        <w:numPr>
          <w:ilvl w:val="0"/>
          <w:numId w:val="1003"/>
        </w:numPr>
        <w:pStyle w:val="Compact"/>
      </w:pPr>
      <w:r>
        <w:t xml:space="preserve">Fiscal Risk:Misclassification of revenue streams can lead to severe penalties from Receita Federal.</w:t>
      </w:r>
    </w:p>
    <w:p>
      <w:pPr>
        <w:numPr>
          <w:ilvl w:val="0"/>
          <w:numId w:val="1004"/>
        </w:numPr>
        <w:pStyle w:val="Compact"/>
      </w:pPr>
      <w:r>
        <w:rPr>
          <w:bCs/>
          <w:b/>
        </w:rPr>
        <w:t xml:space="preserve">Operational Risk:</w:t>
      </w:r>
      <w:r>
        <w:t xml:space="preserve">Cybersecurity standards in Brazil are tightening under the LGPD (Lei Geral de Proteção de Dados). Consultants must ensure GDPR-level compliance is met locally.</w:t>
      </w:r>
    </w:p>
    <w:p>
      <w:pPr>
        <w:numPr>
          <w:ilvl w:val="0"/>
          <w:numId w:val="1005"/>
        </w:numPr>
        <w:pStyle w:val="Compact"/>
      </w:pPr>
      <w:r>
        <w:rPr>
          <w:iCs/>
          <w:i/>
        </w:rPr>
        <w:t xml:space="preserve">Reputational Risk:</w:t>
      </w:r>
      <w:r>
        <w:t xml:space="preserve">In the interconnected network of São Paulo’s business community, legal non-compliance can spread quickly. Ethical consulting practices are paramount.</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concludes that the role of a</w:t>
      </w:r>
      <w:r>
        <w:t xml:space="preserve"> </w:t>
      </w:r>
      <w:r>
        <w:rPr>
          <w:bCs/>
          <w:b/>
        </w:rPr>
        <w:t xml:space="preserve">Business Consultant</w:t>
      </w:r>
      <w:r>
        <w:t xml:space="preserve"> </w:t>
      </w:r>
      <w:r>
        <w:t xml:space="preserve">in</w:t>
      </w:r>
    </w:p>
    <w:p>
      <w:pPr>
        <w:pStyle w:val="BodyText"/>
      </w:pPr>
      <w:r>
        <w:t xml:space="preserve">Brazil São Paulo&gt; is not merely advisory but foundational to survival and growth. The unique convergence of economic power, regulatory complexity, and cultural nuance demands a specialized approach. By treating market entry as a structured laboratory experiment—hypothesizing strategies, testing them against local constraints, and analyzing the data outcomes—organizations can unlock the vast potential of São Paulo while mitigating its inherent risks. The success of such ventures hinges on the consultant’s ability to bridge global strategic vision with hyper-local execution capability.</w:t>
      </w:r>
    </w:p>
    <w:p>
      <w:pPr>
        <w:pStyle w:val="BodyText"/>
      </w:pPr>
      <w:r>
        <w:t xml:space="preserve">In summary,</w:t>
      </w:r>
      <w:r>
        <w:t xml:space="preserve"> </w:t>
      </w:r>
      <w:r>
        <w:rPr>
          <w:bCs/>
          <w:b/>
        </w:rPr>
        <w:t xml:space="preserve">Brazil São Paulo</w:t>
      </w:r>
      <w:r>
        <w:t xml:space="preserve"> </w:t>
      </w:r>
      <w:r>
        <w:t xml:space="preserve">offers a fertile ground for innovation, but only for those who respect its complexities. The</w:t>
      </w:r>
      <w:r>
        <w:t xml:space="preserve"> </w:t>
      </w:r>
      <w:r>
        <w:rPr>
          <w:bCs/>
          <w:b/>
        </w:rPr>
        <w:t xml:space="preserve">Business Consultant</w:t>
      </w:r>
      <w:r>
        <w:t xml:space="preserve">, armed with the analytical rigor of a scientific laboratory report, provides the necessary roadmap to navigate this terrain successfully. Future phases of this study will focus on long-term sustainability metrics and the impact of emerging technologies on traditional consulting models in the region.</w:t>
      </w:r>
    </w:p>
    <w:p>
      <w:r>
        <w:pict>
          <v:rect style="width:0;height:1.5pt" o:hralign="center" o:hrstd="t" o:hr="t"/>
        </w:pict>
      </w:r>
    </w:p>
    <w:p>
      <w:pPr>
        <w:pStyle w:val="FirstParagraph"/>
      </w:pPr>
      <w:r>
        <w:t xml:space="preserve">End of Document | Classification: Confidential | Prepared for Internal Strategic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Consultant Implementation in Brazil São Paulo</dc:title>
  <dc:creator/>
  <dc:language>en</dc:language>
  <cp:keywords/>
  <dcterms:created xsi:type="dcterms:W3CDTF">2026-07-30T00:34:31Z</dcterms:created>
  <dcterms:modified xsi:type="dcterms:W3CDTF">2026-07-30T00:34:31Z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