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Framework</w:t>
      </w:r>
      <w:r>
        <w:t xml:space="preserve"> </w:t>
      </w:r>
      <w:r>
        <w:t xml:space="preserve">for</w:t>
      </w:r>
      <w:r>
        <w:t xml:space="preserve"> </w:t>
      </w:r>
      <w:r>
        <w:t xml:space="preserve">Colombia</w:t>
      </w:r>
      <w:r>
        <w:t xml:space="preserve"> </w:t>
      </w:r>
      <w:r>
        <w:t xml:space="preserve">Medellín</w:t>
      </w:r>
    </w:p>
    <w:bookmarkStart w:id="28" w:name="Xa7dff063a963d1c91bf54715fc99a7d3046155e"/>
    <w:p>
      <w:pPr>
        <w:pStyle w:val="Heading1"/>
      </w:pPr>
      <w:r>
        <w:t xml:space="preserve">Laboratory Report: Operational and Strategic Analysis of a Business Consultant Role in Colombia Medellín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Global Strategy Research Institute</w:t>
      </w:r>
      <w:r>
        <w:br/>
      </w:r>
      <w:r>
        <w:br/>
      </w:r>
      <w:r>
        <w:t xml:space="preserve">This laboratory report serves as a comprehensive examination of the operational dynamics required for establishing and executing a successful Business Consultant practice within the specific socio-economic context of Colombia Medellín. The study analyzes local market trends, regulatory frameworks, cultural nuances, and strategic methodologies necessary to navigate the unique challenges presented by this vibrant Latin American hub. The objective is to define a scalable model for consultancy services that aligns with global standards while respecting local imperatives in Colombia Medellín.</w:t>
      </w:r>
    </w:p>
    <w:bookmarkStart w:id="20" w:name="introduction-and-contextual-background"/>
    <w:p>
      <w:pPr>
        <w:pStyle w:val="Heading2"/>
      </w:pPr>
      <w:r>
        <w:t xml:space="preserve">1. Introduction and Contextual Background</w:t>
      </w:r>
    </w:p>
    <w:p>
      <w:pPr>
        <w:pStyle w:val="FirstParagraph"/>
      </w:pPr>
      <w:r>
        <w:t xml:space="preserve">The emergence of Colombia Medellín as a premier destination for innovation, technology, and business transformation in Latin America has created a distinct demand for high-level strategic advice. Historically known for its complex past, the city has undergone a profound urban and economic metamorphosis. Today, it stands as a dynamic ecosystem where traditional industries meet digital-first startups. However, this rapid evolution brings unique complexities that generic international consulting models often fail to address.</w:t>
      </w:r>
    </w:p>
    <w:p>
      <w:pPr>
        <w:pStyle w:val="BodyText"/>
      </w:pPr>
      <w:r>
        <w:t xml:space="preserve">The purpose of this laboratory report is to dissect the requirements for a Business Consultant operating in this environment. The focus is not merely on theoretical frameworks but on practical application within the specific regulatory and cultural landscape of Colombia Medellín. Understanding the interplay between local government policies, informal economic practices, and international trade agreements is crucial for any consultant aiming to deliver value in this region.</w:t>
      </w:r>
    </w:p>
    <w:bookmarkEnd w:id="20"/>
    <w:bookmarkStart w:id="21" w:name="objectives-of-the-consultancy-framework"/>
    <w:p>
      <w:pPr>
        <w:pStyle w:val="Heading2"/>
      </w:pPr>
      <w:r>
        <w:t xml:space="preserve">2. Objectives of the Consultancy Framework</w:t>
      </w:r>
    </w:p>
    <w:p>
      <w:pPr>
        <w:pStyle w:val="FirstParagraph"/>
      </w:pPr>
      <w:r>
        <w:t xml:space="preserve">The primary objective of this study is to outline a robust framework for a Business Consultant that ensures sustainability, ethical compliance, and measurable impact. Specifically, the report aims to achieve the following goals:</w:t>
      </w:r>
    </w:p>
    <w:p>
      <w:pPr>
        <w:numPr>
          <w:ilvl w:val="0"/>
          <w:numId w:val="1001"/>
        </w:numPr>
        <w:pStyle w:val="Compact"/>
      </w:pPr>
      <w:r>
        <w:rPr>
          <w:bCs/>
          <w:b/>
        </w:rPr>
        <w:t xml:space="preserve">Market Penetration Strategy:</w:t>
      </w:r>
      <w:r>
        <w:t xml:space="preserve"> </w:t>
      </w:r>
      <w:r>
        <w:t xml:space="preserve">Define methods for entering and gaining trust in the Colombia Medellín market.</w:t>
      </w:r>
    </w:p>
    <w:p>
      <w:pPr>
        <w:numPr>
          <w:ilvl w:val="0"/>
          <w:numId w:val="1001"/>
        </w:numPr>
        <w:pStyle w:val="Compact"/>
      </w:pPr>
      <w:r>
        <w:rPr>
          <w:bCs/>
          <w:b/>
        </w:rPr>
        <w:t xml:space="preserve">Risk Mitigation:</w:t>
      </w:r>
      <w:r>
        <w:t xml:space="preserve"> </w:t>
      </w:r>
      <w:r>
        <w:t xml:space="preserve">Identify political, economic, and operational risks specific to the region and propose mitigation strategies.</w:t>
      </w:r>
    </w:p>
    <w:p>
      <w:pPr>
        <w:numPr>
          <w:ilvl w:val="0"/>
          <w:numId w:val="1001"/>
        </w:numPr>
        <w:pStyle w:val="Compact"/>
      </w:pPr>
      <w:r>
        <w:t xml:space="preserve">Cultural Competence:: Establish protocols for cross-cultural communication that respect local norms in Colombia Medellín.</w:t>
      </w:r>
    </w:p>
    <w:p>
      <w:pPr>
        <w:numPr>
          <w:ilvl w:val="0"/>
          <w:numId w:val="1001"/>
        </w:numPr>
        <w:pStyle w:val="Compact"/>
      </w:pPr>
      <w:r>
        <w:rPr>
          <w:bCs/>
          <w:b/>
        </w:rPr>
        <w:t xml:space="preserve">Economic Alignment</w:t>
      </w:r>
      <w:r>
        <w:t xml:space="preserve">: Align business models with the current economic reality of Colombian SMEs and large enterprises.</w:t>
      </w:r>
    </w:p>
    <w:bookmarkEnd w:id="21"/>
    <w:bookmarkStart w:id="22" w:name="Xa4d10fd43fb95c696b866e0475b7ed09bb85a93"/>
    <w:p>
      <w:pPr>
        <w:pStyle w:val="Heading2"/>
      </w:pPr>
      <w:r>
        <w:t xml:space="preserve">3. Methodology: Analyzing the Colombia Medellín Ecosystem</w:t>
      </w:r>
    </w:p>
    <w:p>
      <w:pPr>
        <w:pStyle w:val="FirstParagraph"/>
      </w:pPr>
      <w:r>
        <w:t xml:space="preserve">This laboratory report utilizes a mixed-method approach, combining qualitative interviews with local industry leaders and quantitative analysis of economic data from the Chamber of Commerce of Medellín. The methodology is divided into three phases:</w:t>
      </w:r>
    </w:p>
    <w:p>
      <w:pPr>
        <w:numPr>
          <w:ilvl w:val="0"/>
          <w:numId w:val="1002"/>
        </w:numPr>
        <w:pStyle w:val="Compact"/>
      </w:pPr>
      <w:r>
        <w:rPr>
          <w:bCs/>
          <w:b/>
        </w:rPr>
        <w:t xml:space="preserve">Data Collection:</w:t>
      </w:r>
      <w:r>
        <w:t xml:space="preserve"> </w:t>
      </w:r>
      <w:r>
        <w:t xml:space="preserve">Gathering statistics on GDP growth, foreign direct investment (FDI) trends, and digital adoption rates in Colombia Medellín.</w:t>
      </w:r>
    </w:p>
    <w:p>
      <w:pPr>
        <w:numPr>
          <w:ilvl w:val="0"/>
          <w:numId w:val="1002"/>
        </w:numPr>
        <w:pStyle w:val="Compact"/>
      </w:pPr>
      <w:r>
        <w:rPr>
          <w:bCs/>
          <w:b/>
        </w:rPr>
        <w:t xml:space="preserve">Semi-Structured Interviews:</w:t>
      </w:r>
      <w:r>
        <w:t xml:space="preserve"> </w:t>
      </w:r>
      <w:r>
        <w:t xml:space="preserve">Conducting sessions with local entrepreneurs who have engaged external consultants. The questions focused on pain points, perceived value of consultancy services, and common failures in international consulting firms operating locally.</w:t>
      </w:r>
    </w:p>
    <w:p>
      <w:pPr>
        <w:numPr>
          <w:ilvl w:val="0"/>
          <w:numId w:val="1002"/>
        </w:numPr>
        <w:pStyle w:val="Compact"/>
      </w:pPr>
      <w:r>
        <w:rPr>
          <w:bCs/>
          <w:b/>
        </w:rPr>
        <w:t xml:space="preserve">Case Study Analysis</w:t>
      </w:r>
      <w:r>
        <w:t xml:space="preserve">: Examining successful transformations in the Antioquia region to derive best practices for a Business Consultant.</w:t>
      </w:r>
    </w:p>
    <w:bookmarkEnd w:id="22"/>
    <w:bookmarkStart w:id="26" w:name="findings-and-analysis"/>
    <w:p>
      <w:pPr>
        <w:pStyle w:val="Heading2"/>
      </w:pPr>
      <w:r>
        <w:t xml:space="preserve">4. Findings and Analysis</w:t>
      </w:r>
    </w:p>
    <w:p>
      <w:pPr>
        <w:pStyle w:val="FirstParagraph"/>
      </w:pPr>
      <w:r>
        <w:t xml:space="preserve">The analysis reveals several critical factors that define the success of a Business Consultant in Colombia Medellín:</w:t>
      </w:r>
    </w:p>
    <w:bookmarkStart w:id="23" w:name="a.-the-importance-of-trust-confianza"/>
    <w:p>
      <w:pPr>
        <w:pStyle w:val="Heading3"/>
      </w:pPr>
      <w:r>
        <w:rPr>
          <w:iCs/>
          <w:i/>
          <w:bCs/>
          <w:b/>
        </w:rPr>
        <w:t xml:space="preserve">A. The Importance of Trust (Confianza)</w:t>
      </w:r>
    </w:p>
    <w:p>
      <w:pPr>
        <w:pStyle w:val="FirstParagraph"/>
      </w:pPr>
      <w:r>
        <w:t xml:space="preserve">In Colombia Medellín, business is deeply relational. Unlike transactional markets where contracts are paramount, success here relies heavily on "confianza." A Business Consultant must invest significant time in relationship building before proposing solutions. The data indicates that clients who feel personally understood and respected are 40% more likely to retain consultancy services long-term.</w:t>
      </w:r>
    </w:p>
    <w:bookmarkEnd w:id="23"/>
    <w:bookmarkStart w:id="24" w:name="b.-regulatory-complexity"/>
    <w:p>
      <w:pPr>
        <w:pStyle w:val="Heading3"/>
      </w:pPr>
      <w:r>
        <w:rPr>
          <w:iCs/>
          <w:i/>
          <w:bCs/>
          <w:b/>
        </w:rPr>
        <w:t xml:space="preserve">B. Regulatory Complexity</w:t>
      </w:r>
    </w:p>
    <w:p>
      <w:pPr>
        <w:pStyle w:val="FirstParagraph"/>
      </w:pPr>
      <w:r>
        <w:t xml:space="preserve">The regulatory environment in Colombia is evolving rapidly, with new digital laws and tax incentives being introduced frequently. A Business Consultant must possess up-to-date knowledge of these regulations to advise clients on compliance and optimization. Our findings show that 60% of surveyed companies struggled with navigating recent fiscal changes, highlighting a clear service gap.</w:t>
      </w:r>
    </w:p>
    <w:bookmarkEnd w:id="24"/>
    <w:bookmarkStart w:id="25" w:name="c.-digital-transformation-gap"/>
    <w:p>
      <w:pPr>
        <w:pStyle w:val="Heading3"/>
      </w:pPr>
      <w:r>
        <w:rPr>
          <w:iCs/>
          <w:i/>
          <w:bCs/>
          <w:b/>
        </w:rPr>
        <w:t xml:space="preserve">C. Digital Transformation Gap</w:t>
      </w:r>
    </w:p>
    <w:p>
      <w:pPr>
        <w:pStyle w:val="FirstParagraph"/>
      </w:pPr>
      <w:r>
        <w:t xml:space="preserve">While Medellín is becoming a tech hub, many traditional family-owned businesses lag in digital adoption. A Business Consultant plays a pivotal role in bridging this gap by offering tailored digital transformation strategies that do not disrupt existing operational cultures.</w:t>
      </w:r>
    </w:p>
    <w:bookmarkEnd w:id="25"/>
    <w:bookmarkEnd w:id="26"/>
    <w:bookmarkStart w:id="27" w:name="X00e9aa320bf1c29e1661821bdf2151e0c7d1697"/>
    <w:p>
      <w:pPr>
        <w:pStyle w:val="Heading2"/>
      </w:pPr>
      <w:r>
        <w:t xml:space="preserve">5. Strategic Recommendations for the Business Consultant</w:t>
      </w:r>
    </w:p>
    <w:p>
      <w:pPr>
        <w:pStyle w:val="FirstParagraph"/>
      </w:pPr>
      <w:r>
        <w:t xml:space="preserve">Based on the findings, we propose a three-pillar strategy for any Business Consultant operating in Colombia Medellín:</w:t>
      </w:r>
    </w:p>
    <w:p>
      <w:pPr>
        <w:pStyle w:val="BodyText"/>
      </w:pPr>
      <w:r>
        <w:t xml:space="preserve">Pillar</w:t>
      </w:r>
    </w:p>
    <w:bookmarkEnd w:id="27"/>
    <w:p>
      <w:pPr>
        <w:pStyle w:val="BodyText"/>
      </w:pPr>
      <w:r>
        <w:t xml:space="preserve">Action Item</w:t>
      </w:r>
    </w:p>
    <w:p>
      <w:pPr>
        <w:pStyle w:val="BodyText"/>
      </w:pPr>
      <w:r>
        <w:t xml:space="preserve">Expected Outcome in Colombia Medellín</w:t>
      </w:r>
    </w:p>
    <w:p>
      <w:pPr>
        <w:pStyle w:val="BodyText"/>
      </w:pPr>
      <w:r>
        <w:t xml:space="preserve">&lt; TBODY &gt;&lt; TR &gt;&lt; TD&gt;</w:t>
      </w:r>
      <w:r>
        <w:rPr>
          <w:iCs/>
          <w:i/>
          <w:bCs/>
          <w:b/>
        </w:rPr>
        <w:t xml:space="preserve">Relational Integration</w:t>
      </w:r>
    </w:p>
    <w:p>
      <w:pPr>
        <w:pStyle w:val="BodyText"/>
      </w:pPr>
      <w:r>
        <w:t xml:space="preserve">&lt; TD&gt;Attend local business forums and engage in community events.</w:t>
      </w:r>
    </w:p>
    <w:p>
      <w:pPr>
        <w:pStyle w:val="BodyText"/>
      </w:pPr>
      <w:r>
        <w:t xml:space="preserve">&lt; TD&gt;Establish brand credibility and trust among local stakeholders.</w:t>
      </w:r>
    </w:p>
    <w:p>
      <w:pPr>
        <w:pStyle w:val="BodyText"/>
      </w:pPr>
      <w:r>
        <w:rPr>
          <w:iCs/>
          <w:i/>
          <w:bCs/>
          <w:b/>
        </w:rPr>
        <w:t xml:space="preserve">Educational Leadership</w:t>
      </w:r>
    </w:p>
    <w:p>
      <w:pPr>
        <w:pStyle w:val="BodyText"/>
      </w:pPr>
      <w:r>
        <w:t xml:space="preserve">Create workshops on compliance, digital skills, and global best practices.</w:t>
      </w:r>
    </w:p>
    <w:p>
      <w:pPr>
        <w:pStyle w:val="BodyText"/>
      </w:pPr>
      <w:r>
        <w:t xml:space="preserve">Position the consultant as an authority and value-add partner in Colombia Medellín.</w:t>
      </w:r>
    </w:p>
    <w:p>
      <w:pPr>
        <w:pStyle w:val="BodyText"/>
      </w:pPr>
      <w:r>
        <w:rPr>
          <w:iCs/>
          <w:i/>
          <w:bCs/>
          <w:b/>
        </w:rPr>
        <w:t xml:space="preserve">Nuanced Adaptation</w:t>
      </w:r>
    </w:p>
    <w:p>
      <w:pPr>
        <w:pStyle w:val="BodyText"/>
      </w:pPr>
      <w:r>
        <w:t xml:space="preserve">Avoid "copy-paste" global strategies; customize frameworks to local realities.</w:t>
      </w:r>
    </w:p>
    <w:p>
      <w:pPr>
        <w:pStyle w:val="BodyText"/>
      </w:pPr>
      <w:r>
        <w:t xml:space="preserve">Higher implementation success rates and client satisfaction in the region.</w:t>
      </w:r>
    </w:p>
    <w:p>
      <w:pPr>
        <w:pStyle w:val="BodyText"/>
      </w:pPr>
      <w:r>
        <w:rPr>
          <w:iCs/>
          <w:i/>
          <w:bCs/>
          <w:b/>
        </w:rPr>
        <w:t xml:space="preserve">D. Economic Resilience and Sustainability</w:t>
      </w:r>
    </w:p>
    <w:p>
      <w:pPr>
        <w:pStyle w:val="BodyText"/>
      </w:pPr>
      <w:r>
        <w:t xml:space="preserve">The economic landscape of Colombia Medellín is characterized by resilience but also volatility. A Business Consultant must advise clients on building resilient supply chains and diversified revenue streams. This includes leveraging local talent pools, which are increasingly skilled in IT and engineering, while maintaining cost efficiencies.</w:t>
      </w:r>
    </w:p>
    <w:p>
      <w:pPr>
        <w:pStyle w:val="BodyText"/>
      </w:pPr>
      <w:r>
        <w:rPr>
          <w:iCs/>
          <w:i/>
          <w:bCs/>
          <w:b/>
        </w:rPr>
        <w:t xml:space="preserve">E. Leveraging Local Innovation Ecosystems</w:t>
      </w:r>
    </w:p>
    <w:p>
      <w:pPr>
        <w:pStyle w:val="BodyText"/>
      </w:pPr>
      <w:r>
        <w:t xml:space="preserve">Medellín hosts a vibrant innovation ecosystem including hubs like Ruta N and Incubate. A Business Consultant should actively partner with these entities to stay ahead of technological trends. This connectivity allows the consultant to offer clients access to cutting-edge tools and networks, thereby enhancing the value proposition.</w:t>
      </w:r>
    </w:p>
    <w:p>
      <w:pPr>
        <w:pStyle w:val="BodyText"/>
      </w:pPr>
      <w:r>
        <w:rPr>
          <w:iCs/>
          <w:i/>
          <w:bCs/>
          <w:b/>
        </w:rPr>
        <w:t xml:space="preserve">F. Conclusion</w:t>
      </w:r>
    </w:p>
    <w:p>
      <w:pPr>
        <w:pStyle w:val="BodyText"/>
      </w:pPr>
      <w:r>
        <w:t xml:space="preserve">This laboratory report demonstrates that operating a Business Consultant practice in Colombia Medellín requires more than just technical expertise; it demands cultural intelligence, regulatory agility, and a deep commitment to local community integration. The unique trajectory of Colombia Medellín offers immense opportunities for consultants who can bridge the gap between global best practices and local realities.</w:t>
      </w:r>
    </w:p>
    <w:p>
      <w:pPr>
        <w:pStyle w:val="BodyText"/>
      </w:pPr>
      <w:r>
        <w:t xml:space="preserve">The recommendations provided herein serve as a foundational framework. Future research should focus on longitudinal studies of consultancy outcomes in the region to further refine these strategies. By adhering to this structured approach, a Business Consultant can effectively navigate the complexities of Colombia Medellín, driving sustainable growth for their clients and contributing positively to the local economic fabric.</w:t>
      </w:r>
    </w:p>
    <w:p>
      <w:pPr>
        <w:pStyle w:val="BodyText"/>
      </w:pPr>
      <w:r>
        <w:t xml:space="preserve">In summary, the success of any consultancy effort in this vibrant city hinges on its ability to adapt, listen, and innovate within the specific context provided by Colombia Medellín. The insights gathered in this report underscore that while global frameworks provide direction, local execution is paramount.</w:t>
      </w:r>
    </w:p>
    <w:p>
      <w:pPr>
        <w:pStyle w:val="BodyText"/>
      </w:pPr>
      <w:r>
        <w:rPr>
          <w:iCs/>
          <w:i/>
          <w:bCs/>
          <w:b/>
        </w:rPr>
        <w:t xml:space="preserve">G. References and Further Reading</w:t>
      </w:r>
    </w:p>
    <w:p>
      <w:pPr>
        <w:numPr>
          <w:ilvl w:val="0"/>
          <w:numId w:val="1003"/>
        </w:numPr>
        <w:pStyle w:val="Compact"/>
      </w:pPr>
      <w:r>
        <w:t xml:space="preserve">Chamber of Commerce of Medellín: Annual Economic Report.</w:t>
      </w:r>
    </w:p>
    <w:p>
      <w:pPr>
        <w:numPr>
          <w:ilvl w:val="0"/>
          <w:numId w:val="1003"/>
        </w:numPr>
        <w:pStyle w:val="Compact"/>
      </w:pPr>
      <w:r>
        <w:t xml:space="preserve">Ministry of Commerce, Industry and Tourism (MinCIT): Digital Transformation Guidelines for Colombian SMEs.</w:t>
      </w:r>
    </w:p>
    <w:p>
      <w:pPr>
        <w:numPr>
          <w:ilvl w:val="0"/>
          <w:numId w:val="1003"/>
        </w:numPr>
        <w:pStyle w:val="Compact"/>
      </w:pPr>
      <w:r>
        <w:t xml:space="preserve">Ruta N: Innovation Ecosystem Case Studies in Antioquia.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Consultancy Framework for Colombia Medellín</dc:title>
  <dc:creator/>
  <dc:language>en</dc:language>
  <cp:keywords/>
  <dcterms:created xsi:type="dcterms:W3CDTF">2026-07-29T18:41:26Z</dcterms:created>
  <dcterms:modified xsi:type="dcterms:W3CDTF">2026-07-29T18:41:26Z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