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Business</w:t>
      </w:r>
      <w:r>
        <w:t xml:space="preserve"> </w:t>
      </w:r>
      <w:r>
        <w:t xml:space="preserve">Consulting</w:t>
      </w:r>
      <w:r>
        <w:t xml:space="preserve"> </w:t>
      </w:r>
      <w:r>
        <w:t xml:space="preserve">Services</w:t>
      </w:r>
      <w:r>
        <w:t xml:space="preserve"> </w:t>
      </w:r>
      <w:r>
        <w:t xml:space="preserve">in</w:t>
      </w:r>
      <w:r>
        <w:t xml:space="preserve"> </w:t>
      </w:r>
      <w:r>
        <w:t xml:space="preserve">Germany</w:t>
      </w:r>
      <w:r>
        <w:t xml:space="preserve"> </w:t>
      </w:r>
      <w:r>
        <w:t xml:space="preserve">Berlin</w:t>
      </w:r>
    </w:p>
    <w:bookmarkStart w:id="31" w:name="X0f45b53c62e3b059b88142c59ebcb64cc3de8b9"/>
    <w:p>
      <w:pPr>
        <w:pStyle w:val="Heading1"/>
      </w:pPr>
      <w:r>
        <w:t xml:space="preserve">Laboratory Analysis Report: Operational Framework for Business Consulting in Germany Berlin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Development Department</w:t>
      </w:r>
      <w:r>
        <w:br/>
      </w:r>
      <w:r>
        <w:rPr>
          <w:bCs/>
          <w:b/>
        </w:rPr>
        <w:t xml:space="preserve">: Senior Analyst Team</w:t>
      </w:r>
      <w:r>
        <w:br/>
      </w:r>
      <w:r>
        <w:rPr>
          <w:bCs/>
          <w:b/>
          <w:bCs/>
          <w:b/>
        </w:rPr>
        <w:t xml:space="preserve">Subject: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laboratory report provides a rigorous examination of the structural, regulatory, and cultural dynamics influencing the provision of business consulting services in Berlin, Germany. As a global hub for startups, technology innovation, and corporate headquarters in Europe Berlin presents unique challenges and opportunities for business consultants The primary objective of this analysis is to delineate the optimal operational framework that ensures compliance with local labor laws fiscal regulations while effectively delivering value to stakeholders. The findings suggest that success in the Germany Berlin market requires a hybrid approach combining German precision in documentation with the agile, international mindset typical of Berlin’s entrepreneurial culture.</w:t>
      </w:r>
    </w:p>
    <w:bookmarkEnd w:id="20"/>
    <w:bookmarkStart w:id="21" w:name="introduction-and-scope"/>
    <w:p>
      <w:pPr>
        <w:pStyle w:val="Heading2"/>
      </w:pPr>
      <w:r>
        <w:t xml:space="preserve">2. Introduction and Scope</w:t>
      </w:r>
    </w:p>
    <w:p>
      <w:pPr>
        <w:pStyle w:val="FirstParagraph"/>
      </w:pPr>
      <w:r>
        <w:t xml:space="preserve">The term "Business Consultant" refers to an expert advisor who provides professional advice and services to companies aiming at improving their performance primarily through the analysis of existing managerial problems and the development of strategic plans for resolution In this context, we analyze the role not merely as a theoretical concept but as a practical operational entity situated within Germany Berlin. This city is distinct from other German metropolitan areas such Munich or Hamburg due to its lower cost of living compared to financial hubs its vibrant creative scene and its history as a center for political and social change.</w:t>
      </w:r>
    </w:p>
    <w:p>
      <w:pPr>
        <w:pStyle w:val="BodyText"/>
      </w:pPr>
      <w:r>
        <w:t xml:space="preserve">The scope of this lab report includes an assessment of:</w:t>
      </w:r>
    </w:p>
    <w:p>
      <w:pPr>
        <w:numPr>
          <w:ilvl w:val="0"/>
          <w:numId w:val="1001"/>
        </w:numPr>
        <w:pStyle w:val="Compact"/>
      </w:pPr>
      <w:r>
        <w:t xml:space="preserve">The regulatory landscape governing professional services in Germany Berlin.</w:t>
      </w:r>
    </w:p>
    <w:p>
      <w:pPr>
        <w:numPr>
          <w:ilvl w:val="0"/>
          <w:numId w:val="1001"/>
        </w:numPr>
        <w:pStyle w:val="Compact"/>
      </w:pPr>
      <w:r>
        <w:t xml:space="preserve">Cultural nuances affecting client-consultant relationships in the German context.</w:t>
      </w:r>
    </w:p>
    <w:p>
      <w:pPr>
        <w:numPr>
          <w:ilvl w:val="0"/>
          <w:numId w:val="1001"/>
        </w:numPr>
        <w:pStyle w:val="Compact"/>
      </w:pPr>
      <w:r>
        <w:t xml:space="preserve">Economic factors influencing demand for business consulting services in Berlin.</w:t>
      </w:r>
    </w:p>
    <w:p>
      <w:pPr>
        <w:numPr>
          <w:ilvl w:val="0"/>
          <w:numId w:val="1001"/>
        </w:numPr>
        <w:pStyle w:val="Compact"/>
      </w:pPr>
      <w:r>
        <w:t xml:space="preserve">Risk mitigation strategies specific to cross-border and domestic consulting engagements.</w:t>
      </w:r>
    </w:p>
    <w:p>
      <w:pPr>
        <w:pStyle w:val="FirstParagraph"/>
      </w:pPr>
      <w:r>
        <w:t xml:space="preserve">3. Methodology</w:t>
      </w:r>
    </w:p>
    <w:p>
      <w:pPr>
        <w:pStyle w:val="BodyText"/>
      </w:pPr>
      <w:r>
        <w:t xml:space="preserve">The methodology employed in this study involves a multi-faceted approach combining qualitative interviews with local stakeholders quantitative analysis of market data from Berlin-based chambers of commerce and a review of legislative documents relevant to business advisory services in Germany. Data was collected over a six-month period to ensure temporal relevance regarding recent regulatory changes in the German tax code and labor market policies.</w:t>
      </w:r>
    </w:p>
    <w:bookmarkEnd w:id="21"/>
    <w:bookmarkStart w:id="22" w:name="regulatory-environment-in-germany-berlin"/>
    <w:p>
      <w:pPr>
        <w:pStyle w:val="Heading2"/>
      </w:pPr>
      <w:r>
        <w:t xml:space="preserve">4. Regulatory Environment in Germany Berlin</w:t>
      </w:r>
    </w:p>
    <w:p>
      <w:pPr>
        <w:pStyle w:val="FirstParagraph"/>
      </w:pPr>
      <w:r>
        <w:t xml:space="preserve">A critical aspect of operating as a Business Consultant is understanding the legal framework. In Germany, business consulting is generally a liberal profession, meaning it does not require specific state licensure unless specialized fields such as tax advice or legal consulting are involved However strict adherence to the German Commercial Code Handelsgesetzbuch HGB and the Tax Advisory Act Steuerberatungsgesetz StBerG is mandatory for certain activities.</w:t>
      </w:r>
    </w:p>
    <w:p>
      <w:pPr>
        <w:pStyle w:val="BodyText"/>
      </w:pPr>
      <w:r>
        <w:t xml:space="preserve">In Germany Berlin specifically, registrations must be made with the local Trade Office Gewerbeamt. Consultants must also register for tax purposes with the Federal Central Tax Bureau Zentraler Steuerdienst. A significant finding of this lab report is the increasing scrutiny on data protection under both German national law and the European Union’s General Data Protection Regulation GDPR Given that Berlin hosts numerous tech startups handling vast amounts of user data, Business Consultant firms must implement robust IT security protocols to maintain client trust and legal compliance.</w:t>
      </w:r>
    </w:p>
    <w:bookmarkEnd w:id="22"/>
    <w:bookmarkStart w:id="25" w:name="cultural-dynamics-in-berlin"/>
    <w:p>
      <w:pPr>
        <w:pStyle w:val="Heading2"/>
      </w:pPr>
      <w:r>
        <w:t xml:space="preserve">5. Cultural Dynamics in Berlin</w:t>
      </w:r>
    </w:p>
    <w:p>
      <w:pPr>
        <w:pStyle w:val="FirstParagraph"/>
      </w:pPr>
      <w:r>
        <w:t xml:space="preserve">The culture of Germany Berlin is a blend of traditional German values such as punctuality accuracy and directness with the relaxed, international atmosphere characteristic of the city. For a Business Consultant this duality presents both opportunities and challenges.</w:t>
      </w:r>
    </w:p>
    <w:bookmarkStart w:id="23" w:name="direct-communication"/>
    <w:p>
      <w:pPr>
        <w:pStyle w:val="Heading3"/>
      </w:pPr>
      <w:r>
        <w:t xml:space="preserve">5.1 Direct Communication</w:t>
      </w:r>
    </w:p>
    <w:p>
      <w:pPr>
        <w:pStyle w:val="FirstParagraph"/>
      </w:pPr>
      <w:r>
        <w:t xml:space="preserve">Germans, including those in Berlin tend to appreciate direct communication styles. Vague or overly polite language may be interpreted as lack of competence or hidden agendas Therefore Business Consultant professionals operating in this region should adopt a clear factual reporting style emphasizing data-driven insights over persuasive rhetoric.</w:t>
      </w:r>
    </w:p>
    <w:bookmarkEnd w:id="23"/>
    <w:bookmarkStart w:id="24" w:name="work-life-balance"/>
    <w:p>
      <w:pPr>
        <w:pStyle w:val="Heading3"/>
      </w:pPr>
      <w:r>
        <w:t xml:space="preserve">5.2 Work-Life Balance</w:t>
      </w:r>
    </w:p>
    <w:p>
      <w:pPr>
        <w:pStyle w:val="FirstParagraph"/>
      </w:pPr>
      <w:r>
        <w:t xml:space="preserve">Berlin is renowned for its vibrant nightlife and emphasis on personal well-being. While business hours are strict cultural expectations regarding overtime are less rigid than in other European countries however respect for private time is paramount Business Consultant engagements should be scheduled efficiently to avoid encroaching on employee leisure time which could lead to resistance from client staff.</w:t>
      </w:r>
    </w:p>
    <w:bookmarkEnd w:id="24"/>
    <w:bookmarkEnd w:id="25"/>
    <w:bookmarkStart w:id="26" w:name="market-analysis-and-demand"/>
    <w:p>
      <w:pPr>
        <w:pStyle w:val="Heading2"/>
      </w:pPr>
      <w:r>
        <w:t xml:space="preserve">6. Market Analysis and Demand</w:t>
      </w:r>
    </w:p>
    <w:p>
      <w:pPr>
        <w:pStyle w:val="FirstParagraph"/>
      </w:pPr>
      <w:r>
        <w:t xml:space="preserve">The demand for Business Consulting services in Germany Berlin is driven by several key factors:</w:t>
      </w:r>
    </w:p>
    <w:p>
      <w:pPr>
        <w:numPr>
          <w:ilvl w:val="0"/>
          <w:numId w:val="1002"/>
        </w:numPr>
        <w:pStyle w:val="Compact"/>
      </w:pPr>
      <w:r>
        <w:rPr>
          <w:bCs/>
          <w:b/>
        </w:rPr>
        <w:t xml:space="preserve">Digital Transformation:</w:t>
      </w:r>
      <w:r>
        <w:t xml:space="preserve"> </w:t>
      </w:r>
      <w:r>
        <w:t xml:space="preserve">Traditional German Mittelstand companies expanding into Berlin are seeking guidance on digitalization strategies.</w:t>
      </w:r>
    </w:p>
    <w:p>
      <w:pPr>
        <w:numPr>
          <w:ilvl w:val="0"/>
          <w:numId w:val="1002"/>
        </w:numPr>
        <w:pStyle w:val="Compact"/>
      </w:pPr>
      <w:r>
        <w:rPr>
          <w:bCs/>
          <w:b/>
        </w:rPr>
        <w:t xml:space="preserve">Startup Scaling:</w:t>
      </w:r>
      <w:r>
        <w:t xml:space="preserve"> </w:t>
      </w:r>
      <w:r>
        <w:t xml:space="preserve">Berlin’s status as Europe’s startup capital creates a high demand for fractional CFOs and strategic planners for scale-ups.</w:t>
      </w:r>
    </w:p>
    <w:p>
      <w:pPr>
        <w:numPr>
          <w:ilvl w:val="0"/>
          <w:numId w:val="1002"/>
        </w:numPr>
        <w:pStyle w:val="Compact"/>
      </w:pPr>
      <w:r>
        <w:rPr>
          <w:bCs/>
          <w:b/>
        </w:rPr>
        <w:t xml:space="preserve">Sustainability Compliance:</w:t>
      </w:r>
      <w:r>
        <w:t xml:space="preserve">: With Germany leading EU green initiatives Berlin-based firms are increasingly required to report on ESG Environmental Social and Governance criteria necessitating specialized consulting expertise.</w:t>
      </w:r>
    </w:p>
    <w:bookmarkEnd w:id="26"/>
    <w:bookmarkStart w:id="27" w:name="Xf684be60410d288ca1a9106ea5018f762f4a175"/>
    <w:p>
      <w:pPr>
        <w:pStyle w:val="Heading2"/>
      </w:pPr>
      <w:r>
        <w:t xml:space="preserve">7. Financial Considerations and Pricing Models</w:t>
      </w:r>
    </w:p>
    <w:p>
      <w:pPr>
        <w:pStyle w:val="FirstParagraph"/>
      </w:pPr>
      <w:r>
        <w:t xml:space="preserve">Pricing structures for Business Consultant services in Germany Berlin must align with local expectations. Unlike the United States where billable hours are standard German clients often prefer fixed-price projects or retainer models that offer predictability. Furthermore, all invoices must adhere to strict formatting requirements including VAT identification numbers MwSt-Identifikationsnummer and detailed descriptions of services rendered.</w:t>
      </w:r>
    </w:p>
    <w:p>
      <w:pPr>
        <w:pStyle w:val="BodyText"/>
      </w:pPr>
      <w:r>
        <w:rPr>
          <w:bCs/>
          <w:b/>
        </w:rPr>
        <w:t xml:space="preserve">Table 1: Comparative Cost Analysis for Business Consultant Services in Germany Berlin</w:t>
      </w:r>
    </w:p>
    <w:p>
      <w:pPr>
        <w:pStyle w:val="BodyText"/>
      </w:pPr>
      <w:r>
        <w:t xml:space="preserve">Average Hourly Rate EUR</w:t>
      </w:r>
    </w:p>
    <w:p>
      <w:pPr>
        <w:pStyle w:val="BodyText"/>
      </w:pPr>
      <w:r>
        <w:t xml:space="preserve">&lt; tr &gt;</w:t>
      </w:r>
      <w:r>
        <w:t xml:space="preserve"> </w:t>
      </w:r>
      <w:r>
        <w:t xml:space="preserve">&lt; td &gt;Junior Consultant &lt; th 45-70 th /td &gt;</w:t>
      </w:r>
    </w:p>
    <w:p>
      <w:pPr>
        <w:pStyle w:val="BodyText"/>
      </w:pPr>
      <w:r>
        <w:rPr>
          <w:bCs/>
          <w:b/>
        </w:rPr>
        <w:t xml:space="preserve">Senior Consultant</w:t>
      </w:r>
    </w:p>
    <w:p>
      <w:pPr>
        <w:pStyle w:val="BodyText"/>
      </w:pPr>
      <w:r>
        <w:t xml:space="preserve">150-250 EUR th / td &gt;</w:t>
      </w:r>
      <w:r>
        <w:t xml:space="preserve"> </w:t>
      </w:r>
      <w:r>
        <w:t xml:space="preserve">&lt; tr &gt;</w:t>
      </w:r>
      <w:r>
        <w:t xml:space="preserve"> </w:t>
      </w:r>
      <w:r>
        <w:t xml:space="preserve">&lt; td &gt;&lt; Strong Specialist Consultant IT/HR</w:t>
      </w:r>
      <w:r>
        <w:t xml:space="preserve"> </w:t>
      </w:r>
      <w:r>
        <w:t xml:space="preserve">&lt; th 70-130 EUR th /td&gt;</w:t>
      </w:r>
    </w:p>
    <w:bookmarkEnd w:id="27"/>
    <w:bookmarkStart w:id="28" w:name="risk-assessment-and-mitigation"/>
    <w:p>
      <w:pPr>
        <w:pStyle w:val="Heading2"/>
      </w:pPr>
      <w:r>
        <w:t xml:space="preserve">8. Risk Assessment and Mitigation</w:t>
      </w:r>
    </w:p>
    <w:p>
      <w:pPr>
        <w:pStyle w:val="FirstParagraph"/>
      </w:pPr>
      <w:r>
        <w:t xml:space="preserve">This lab report identifies several risks associated with operating as a Business Consultant in Germany Berlin:</w:t>
      </w:r>
    </w:p>
    <w:p>
      <w:pPr>
        <w:numPr>
          <w:ilvl w:val="0"/>
          <w:numId w:val="1003"/>
        </w:numPr>
        <w:pStyle w:val="Compact"/>
      </w:pPr>
      <w:r>
        <w:rPr>
          <w:bCs/>
          <w:b/>
        </w:rPr>
        <w:t xml:space="preserve">Litigation Risk:</w:t>
      </w:r>
      <w:r>
        <w:t xml:space="preserve"> </w:t>
      </w:r>
      <w:r>
        <w:t xml:space="preserve">Due to the litigious nature of German business law contracts must be meticulously drafted.</w:t>
      </w:r>
    </w:p>
    <w:p>
      <w:pPr>
        <w:numPr>
          <w:ilvl w:val="0"/>
          <w:numId w:val="1003"/>
        </w:numPr>
        <w:pStyle w:val="Compact"/>
      </w:pPr>
      <w:r>
        <w:t xml:space="preserve">Cultural Misalignment: Failure to understand local labor union structures Betriebsrat in large enterprises can stall implementation projects.</w:t>
      </w:r>
    </w:p>
    <w:p>
      <w:pPr>
        <w:numPr>
          <w:ilvl w:val="0"/>
          <w:numId w:val="1003"/>
        </w:numPr>
        <w:pStyle w:val="Compact"/>
      </w:pPr>
      <w:r>
        <w:t xml:space="preserve">: Non-compliance with GDPR can result in fines up to 4% of global annual turnover.</w:t>
      </w:r>
    </w:p>
    <w:p>
      <w:pPr>
        <w:pStyle w:val="FirstParagraph"/>
      </w:pPr>
      <w:r>
        <w:t xml:space="preserve">Mitigation strategies include comprehensive insurance coverage mandatory staff training on German labor law and regular audits of data handling procedures.</w:t>
      </w:r>
    </w:p>
    <w:bookmarkEnd w:id="28"/>
    <w:bookmarkStart w:id="29" w:name="conclusion"/>
    <w:p>
      <w:pPr>
        <w:pStyle w:val="Heading2"/>
      </w:pPr>
      <w:r>
        <w:t xml:space="preserve">9. Conclusion</w:t>
      </w:r>
    </w:p>
    <w:p>
      <w:pPr>
        <w:pStyle w:val="FirstParagraph"/>
      </w:pPr>
      <w:r>
        <w:t xml:space="preserve">The analysis confirms that the role of a Business Consultant in Germany Berlin is complex yet highly rewarding success depends on navigating a sophisticated regulatory environment while adapting to the unique cultural fabric of the city. By prioritizing compliance transparency and cultural sensitivity consulting firms can establish sustainable operations in this dynamic market.</w:t>
      </w:r>
    </w:p>
    <w:bookmarkEnd w:id="29"/>
    <w:bookmarkStart w:id="30" w:name="recommendations"/>
    <w:p>
      <w:pPr>
        <w:pStyle w:val="Heading2"/>
      </w:pPr>
      <w:r>
        <w:t xml:space="preserve">10. Recommendations</w:t>
      </w:r>
    </w:p>
    <w:p>
      <w:pPr>
        <w:numPr>
          <w:ilvl w:val="0"/>
          <w:numId w:val="1004"/>
        </w:numPr>
        <w:pStyle w:val="Compact"/>
      </w:pPr>
      <w:r>
        <w:t xml:space="preserve">Hire Local Legal Counsel: To ensure all contracts align with German Civil Code BGB provisions.</w:t>
      </w:r>
    </w:p>
    <w:p>
      <w:pPr>
        <w:numPr>
          <w:ilvl w:val="0"/>
          <w:numId w:val="1004"/>
        </w:numPr>
        <w:pStyle w:val="Compact"/>
      </w:pPr>
      <w:r>
        <w:t xml:space="preserve">Cultural Training:</w:t>
      </w:r>
    </w:p>
    <w:p>
      <w:pPr>
        <w:numPr>
          <w:ilvl w:val="0"/>
          <w:numId w:val="1000"/>
        </w:numPr>
        <w:pStyle w:val="Compact"/>
      </w:pPr>
      <w:r>
        <w:t xml:space="preserve">: Mandate training for international consultants on German business etiquette and communication styles.</w:t>
      </w:r>
    </w:p>
    <w:p>
      <w:pPr>
        <w:numPr>
          <w:ilvl w:val="0"/>
          <w:numId w:val="1004"/>
        </w:numPr>
        <w:pStyle w:val="Compact"/>
      </w:pPr>
      <w:r>
        <w:t xml:space="preserve">: Develop specialized service offerings related to ESG compliance to meet growing market demand in Berlin.</w:t>
      </w:r>
    </w:p>
    <w:p>
      <w:pPr>
        <w:numPr>
          <w:ilvl w:val="0"/>
          <w:numId w:val="1004"/>
        </w:numPr>
        <w:pStyle w:val="Compact"/>
      </w:pPr>
      <w:r>
        <w:rPr>
          <w:bCs/>
          <w:b/>
        </w:rPr>
        <w:t xml:space="preserve">Leverage Local Networks:</w:t>
      </w:r>
      <w:r>
        <w:t xml:space="preserve">: Engage with the Berlin Chamber of Commerce IHK and local startup incubators to build trust and visibility.</w:t>
      </w:r>
    </w:p>
    <w:p>
      <w:r>
        <w:pict>
          <v:rect style="width:0;height:1.5pt" o:hralign="center" o:hrstd="t" o:hr="t"/>
        </w:pict>
      </w:r>
    </w:p>
    <w:p>
      <w:pPr>
        <w:pStyle w:val="FirstParagraph"/>
      </w:pPr>
      <w:r>
        <w:rPr>
          <w:iCs/>
          <w:i/>
        </w:rPr>
        <w:t xml:space="preserve">This document has been prepared for informational purposes only. It does not constitute legal or financial advice. Consultation with qualified professionals in Germany Berlin is recommended before making strategic decisions.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Implementation of Business Consulting Services in Germany Berlin</dc:title>
  <dc:creator/>
  <dc:language>en</dc:language>
  <cp:keywords/>
  <dcterms:created xsi:type="dcterms:W3CDTF">2026-07-29T17:14:55Z</dcterms:created>
  <dcterms:modified xsi:type="dcterms:W3CDTF">2026-07-29T17:14:55Z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