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Business</w:t>
      </w:r>
      <w:r>
        <w:t xml:space="preserve"> </w:t>
      </w:r>
      <w:r>
        <w:t xml:space="preserve">Consultant</w:t>
      </w:r>
      <w:r>
        <w:t xml:space="preserve"> </w:t>
      </w:r>
      <w:r>
        <w:t xml:space="preserve">Optimization</w:t>
      </w:r>
      <w:r>
        <w:t xml:space="preserve"> </w:t>
      </w:r>
      <w:r>
        <w:t xml:space="preserve">in</w:t>
      </w:r>
      <w:r>
        <w:t xml:space="preserve"> </w:t>
      </w:r>
      <w:r>
        <w:t xml:space="preserve">Germany</w:t>
      </w:r>
      <w:r>
        <w:t xml:space="preserve"> </w:t>
      </w:r>
      <w:r>
        <w:t xml:space="preserve">Frankfurt</w:t>
      </w:r>
    </w:p>
    <w:bookmarkStart w:id="31" w:name="X22693b14588dbe3497d6884d6783fce9404bd60"/>
    <w:p>
      <w:pPr>
        <w:pStyle w:val="Heading1"/>
      </w:pPr>
      <w:r>
        <w:t xml:space="preserve">Lab Report: Strategic Implementation of a Business Consultant Framework in Germany Frankfurt</w:t>
      </w:r>
    </w:p>
    <w:p>
      <w:pPr>
        <w:pStyle w:val="FirstParagraph"/>
      </w:pPr>
      <w:r>
        <w:rPr>
          <w:bCs/>
          <w:b/>
        </w:rPr>
        <w:t xml:space="preserve">Date:</w:t>
      </w:r>
      <w:r>
        <w:t xml:space="preserve"> </w:t>
      </w:r>
      <w:r>
        <w:t xml:space="preserve">October 24, 2023</w:t>
      </w:r>
      <w:r>
        <w:br/>
      </w:r>
      <w:r>
        <w:rPr>
          <w:bCs/>
          <w:b/>
        </w:rPr>
        <w:t xml:space="preserve">Laboratory Location:</w:t>
      </w:r>
      <w:r>
        <w:t xml:space="preserve"> </w:t>
      </w:r>
      <w:r>
        <w:t xml:space="preserve">Frankfurt am Main, Hesse, Germany</w:t>
      </w:r>
      <w:r>
        <w:br/>
      </w:r>
    </w:p>
    <w:p>
      <w:pPr>
        <w:pStyle w:val="BodyText"/>
      </w:pPr>
      <w:r>
        <w:t xml:space="preserve">Subject: Operational Efficiency and Regulatory Compliance Analysis for the Business Consultant Role within the German Market Context.</w:t>
      </w:r>
    </w:p>
    <w:bookmarkStart w:id="20" w:name="abstract"/>
    <w:p>
      <w:pPr>
        <w:pStyle w:val="Heading2"/>
      </w:pPr>
      <w:r>
        <w:t xml:space="preserve">1. Abstract</w:t>
      </w:r>
    </w:p>
    <w:p>
      <w:pPr>
        <w:pStyle w:val="FirstParagraph"/>
      </w:pPr>
      <w:r>
        <w:t xml:space="preserve">This Lab Report documents a comprehensive analysis of the operational dynamics, regulatory constraints, and strategic imperatives associated with deploying a high-level</w:t>
      </w:r>
      <w:r>
        <w:t xml:space="preserve"> </w:t>
      </w:r>
      <w:r>
        <w:rPr>
          <w:bCs/>
          <w:b/>
        </w:rPr>
        <w:t xml:space="preserve">Business Consultant</w:t>
      </w:r>
      <w:r>
        <w:t xml:space="preserve"> </w:t>
      </w:r>
      <w:r>
        <w:t xml:space="preserve">framework within the economic hub of</w:t>
      </w:r>
      <w:r>
        <w:t xml:space="preserve"> </w:t>
      </w:r>
      <w:r>
        <w:rPr>
          <w:bCs/>
          <w:b/>
        </w:rPr>
        <w:t xml:space="preserve">Germany Frankfurt</w:t>
      </w:r>
      <w:r>
        <w:t xml:space="preserve">. As one of Europe's most critical financial and logistical centers, Frankfurt presents unique challenges for consulting firms. This report evaluates how a specialized</w:t>
      </w:r>
      <w:r>
        <w:t xml:space="preserve"> </w:t>
      </w:r>
      <w:r>
        <w:rPr>
          <w:bCs/>
          <w:b/>
        </w:rPr>
        <w:t xml:space="preserve">Business Consultant</w:t>
      </w:r>
      <w:r>
        <w:t xml:space="preserve"> </w:t>
      </w:r>
      <w:r>
        <w:t xml:space="preserve">can navigate the complex bureaucratic landscape while driving innovation in local enterprises. The study highlights that successful integration requires not only global business acumen but also a deep, localized understanding of German corporate governance structures.</w:t>
      </w:r>
    </w:p>
    <w:bookmarkEnd w:id="20"/>
    <w:bookmarkStart w:id="21" w:name="introduction"/>
    <w:p>
      <w:pPr>
        <w:pStyle w:val="Heading2"/>
      </w:pPr>
      <w:r>
        <w:t xml:space="preserve">2. Introduction</w:t>
      </w:r>
    </w:p>
    <w:p>
      <w:pPr>
        <w:pStyle w:val="FirstParagraph"/>
      </w:pPr>
      <w:r>
        <w:t xml:space="preserve">The primary objective of this laboratory exercise is to define the core competencies and strategic actions required for a</w:t>
      </w:r>
      <w:r>
        <w:t xml:space="preserve"> </w:t>
      </w:r>
      <w:r>
        <w:rPr>
          <w:bCs/>
          <w:b/>
        </w:rPr>
        <w:t xml:space="preserve">Business Consultant</w:t>
      </w:r>
      <w:r>
        <w:t xml:space="preserve"> </w:t>
      </w:r>
      <w:r>
        <w:t xml:space="preserve">to effectively operate in Frankfurt, Germany. Frankfurt serves as the nerve center of the European financial system, hosting major institutions such as the European Central Bank and Deutsche Börse. Consequently, businesses operating here face rigorous scrutiny regarding compliance, sustainability (ESG), and digital transformation.</w:t>
      </w:r>
    </w:p>
    <w:p>
      <w:pPr>
        <w:pStyle w:val="BodyText"/>
      </w:pPr>
      <w:r>
        <w:t xml:space="preserve">The term "Lab Report" is utilized here to denote a structured, empirical approach to defining consultancy standards. Just as a scientific laboratory isolates variables to test hypotheses, this report isolates the key variables of the</w:t>
      </w:r>
      <w:r>
        <w:t xml:space="preserve"> </w:t>
      </w:r>
      <w:r>
        <w:rPr>
          <w:bCs/>
          <w:b/>
        </w:rPr>
        <w:t xml:space="preserve">Business Consultant</w:t>
      </w:r>
      <w:r>
        <w:t xml:space="preserve"> </w:t>
      </w:r>
      <w:r>
        <w:t xml:space="preserve">role: regulatory adherence, cultural integration, and value generation within the specific geographic context of</w:t>
      </w:r>
      <w:r>
        <w:t xml:space="preserve"> </w:t>
      </w:r>
      <w:r>
        <w:rPr>
          <w:bCs/>
          <w:b/>
        </w:rPr>
        <w:t xml:space="preserve">Germany Frankfurt</w:t>
      </w:r>
      <w:r>
        <w:t xml:space="preserve">.</w:t>
      </w:r>
    </w:p>
    <w:bookmarkEnd w:id="21"/>
    <w:bookmarkStart w:id="22" w:name="X1d5d53c1458da3ee6cddedc1ae8be4b7586b60e"/>
    <w:p>
      <w:pPr>
        <w:pStyle w:val="Heading2"/>
      </w:pPr>
      <w:r>
        <w:t xml:space="preserve">3. Methodology: The Frankfurt Context Analysis</w:t>
      </w:r>
    </w:p>
    <w:p>
      <w:pPr>
        <w:pStyle w:val="FirstParagraph"/>
      </w:pPr>
      <w:r>
        <w:t xml:space="preserve">To ensure accuracy, this report employs a multi-factor analysis method. The research focuses on three primary pillars relevant to a</w:t>
      </w:r>
      <w:r>
        <w:t xml:space="preserve"> </w:t>
      </w:r>
      <w:r>
        <w:rPr>
          <w:bCs/>
          <w:b/>
        </w:rPr>
        <w:t xml:space="preserve">Business Consultant</w:t>
      </w:r>
      <w:r>
        <w:t xml:space="preserve">:</w:t>
      </w:r>
      <w:r>
        <w:br/>
      </w:r>
      <w:r>
        <w:br/>
      </w:r>
      <w:r>
        <w:t xml:space="preserve">1. **Regulatory Environment:** Analyzing the impact of German federal laws and EU directives in Frankfurt.</w:t>
      </w:r>
      <w:r>
        <w:br/>
      </w:r>
      <w:r>
        <w:t xml:space="preserve">2. **Market Dynamics:** Assessing the competitive landscape between traditional Mittelstand companies and international fintech startups.</w:t>
      </w:r>
      <w:r>
        <w:br/>
      </w:r>
      <w:r>
        <w:t xml:space="preserve">3. **Cultural Nuances:** Evaluating communication styles and decision-making hierarchies typical in Hessian business culture.</w:t>
      </w:r>
    </w:p>
    <w:bookmarkEnd w:id="22"/>
    <w:bookmarkStart w:id="26" w:name="results-and-observations"/>
    <w:p>
      <w:pPr>
        <w:pStyle w:val="Heading2"/>
      </w:pPr>
      <w:r>
        <w:t xml:space="preserve">4. Results and Observations</w:t>
      </w:r>
    </w:p>
    <w:bookmarkStart w:id="23" w:name="Xbfba1fda166fa617591f262b4f70c59d509a0e5"/>
    <w:p>
      <w:pPr>
        <w:pStyle w:val="Heading3"/>
      </w:pPr>
      <w:r>
        <w:t xml:space="preserve">4.1 Regulatory Compliance as a Consultant's Core Asset</w:t>
      </w:r>
    </w:p>
    <w:p>
      <w:pPr>
        <w:pStyle w:val="FirstParagraph"/>
      </w:pPr>
      <w:r>
        <w:t xml:space="preserve">In the context of a</w:t>
      </w:r>
      <w:r>
        <w:t xml:space="preserve"> </w:t>
      </w:r>
      <w:r>
        <w:rPr>
          <w:bCs/>
          <w:b/>
        </w:rPr>
        <w:t xml:space="preserve">Buiness Consultant</w:t>
      </w:r>
      <w:r>
        <w:t xml:space="preserve">, compliance is not merely an administrative task but a strategic service offering in Frankfurt. The city hosts numerous financial institutions that are strictly bound by BaFin (Federal Financial Supervisory Authority) regulations. Our analysis indicates that clients in Frankfurt prioritize consultants who can demonstrate immediate value through risk mitigation. A</w:t>
      </w:r>
      <w:r>
        <w:t xml:space="preserve"> </w:t>
      </w:r>
      <w:r>
        <w:rPr>
          <w:bCs/>
          <w:b/>
        </w:rPr>
        <w:t xml:space="preserve">Business Consultant</w:t>
      </w:r>
      <w:r>
        <w:t xml:space="preserve"> </w:t>
      </w:r>
      <w:r>
        <w:t xml:space="preserve">must possess expert knowledge of the Aktiengesetz (Stock Corporation Act) and GDPR implementations tailored to German data sovereignty laws.</w:t>
      </w:r>
    </w:p>
    <w:bookmarkEnd w:id="23"/>
    <w:bookmarkStart w:id="24" w:name="the-role-of-precision-and-documentation"/>
    <w:p>
      <w:pPr>
        <w:pStyle w:val="Heading3"/>
      </w:pPr>
      <w:r>
        <w:t xml:space="preserve">4.2 The Role of Precision and Documentation</w:t>
      </w:r>
    </w:p>
    <w:p>
      <w:pPr>
        <w:pStyle w:val="FirstParagraph"/>
      </w:pPr>
      <w:r>
        <w:t xml:space="preserve">Data collected from interviews with local enterprise leaders in Frankfurt reveals that decision-making processes are often slow but deliberate. A</w:t>
      </w:r>
      <w:r>
        <w:t xml:space="preserve"> </w:t>
      </w:r>
      <w:r>
        <w:rPr>
          <w:bCs/>
          <w:b/>
        </w:rPr>
        <w:t xml:space="preserve">Business Consultant</w:t>
      </w:r>
      <w:r>
        <w:t xml:space="preserve"> </w:t>
      </w:r>
      <w:r>
        <w:t xml:space="preserve">operating in this environment must adapt by providing exhaustive documentation. In other global markets, "move fast and break things" may be acceptable; however, in Frankfurt, the methodology of a</w:t>
      </w:r>
      <w:r>
        <w:t xml:space="preserve"> </w:t>
      </w:r>
      <w:r>
        <w:rPr>
          <w:bCs/>
          <w:b/>
        </w:rPr>
        <w:t xml:space="preserve">Buiness Consultant</w:t>
      </w:r>
      <w:r>
        <w:t xml:space="preserve"> </w:t>
      </w:r>
      <w:r>
        <w:t xml:space="preserve">must emphasize precision ("Gründlichkeit"). The Lab Report findings suggest that presentation slides are secondary to comprehensive written reports (Gutachten) when presenting to German stakeholders.</w:t>
      </w:r>
    </w:p>
    <w:bookmarkEnd w:id="24"/>
    <w:bookmarkStart w:id="25" w:name="sustainability-and-esg-integration"/>
    <w:p>
      <w:pPr>
        <w:pStyle w:val="Heading3"/>
      </w:pPr>
      <w:r>
        <w:t xml:space="preserve">4.3 Sustainability and ESG Integration</w:t>
      </w:r>
    </w:p>
    <w:p>
      <w:pPr>
        <w:pStyle w:val="FirstParagraph"/>
      </w:pPr>
      <w:r>
        <w:t xml:space="preserve">Frankfurt has positioned itself as a leader in sustainable finance. Therefore, any modern</w:t>
      </w:r>
      <w:r>
        <w:t xml:space="preserve"> </w:t>
      </w:r>
      <w:r>
        <w:rPr>
          <w:bCs/>
          <w:b/>
        </w:rPr>
        <w:t xml:space="preserve">Buiness Consultant</w:t>
      </w:r>
      <w:r>
        <w:t xml:space="preserve"> </w:t>
      </w:r>
      <w:r>
        <w:t xml:space="preserve">proposal must include Environmental, Social, and Governance (ESG) criteria. Our lab analysis shows that clients expect the consultant to provide actionable roadmaps for reducing carbon footprints and ensuring ethical supply chains. Ignoring these factors results in immediate rejection of consultancy proposals in this region.</w:t>
      </w:r>
    </w:p>
    <w:bookmarkEnd w:id="25"/>
    <w:bookmarkEnd w:id="26"/>
    <w:bookmarkStart w:id="27" w:name="X00a703b07e8f238435261266a397f8864d6db46"/>
    <w:p>
      <w:pPr>
        <w:pStyle w:val="Heading2"/>
      </w:pPr>
      <w:r>
        <w:t xml:space="preserve">5. Discussion: The Evolution of the Business Consultant</w:t>
      </w:r>
    </w:p>
    <w:p>
      <w:pPr>
        <w:pStyle w:val="FirstParagraph"/>
      </w:pPr>
      <w:r>
        <w:t xml:space="preserve">The traditional image of a generalist consultant is obsolete in Frankfurt. The data suggests a shift toward specialized "Hyper-local" consultants. A</w:t>
      </w:r>
      <w:r>
        <w:t xml:space="preserve"> </w:t>
      </w:r>
      <w:r>
        <w:rPr>
          <w:bCs/>
          <w:b/>
        </w:rPr>
        <w:t xml:space="preserve">Buiness Consultant</w:t>
      </w:r>
      <w:r>
        <w:t xml:space="preserve"> </w:t>
      </w:r>
      <w:r>
        <w:t xml:space="preserve">in this city must act as both a global strategist and a local cultural bridge. For instance, understanding the relationship between family-owned businesses (Mittelstand) and public corporations is crucial.</w:t>
      </w:r>
    </w:p>
    <w:p>
      <w:pPr>
        <w:pStyle w:val="BodyText"/>
      </w:pPr>
      <w:r>
        <w:t xml:space="preserve">Furthermore, the language barrier remains significant. While English is widely spoken in international banking sectors of Frankfurt, critical negotiations often occur in German. A</w:t>
      </w:r>
      <w:r>
        <w:t xml:space="preserve"> </w:t>
      </w:r>
      <w:r>
        <w:rPr>
          <w:bCs/>
          <w:b/>
        </w:rPr>
        <w:t xml:space="preserve">Buiness Consultant</w:t>
      </w:r>
      <w:r>
        <w:t xml:space="preserve"> </w:t>
      </w:r>
      <w:r>
        <w:t xml:space="preserve">lacking fluency in high-level business German may find themselves excluded from key decision-making circles. Therefore, language proficiency should be considered a primary qualification for this role.</w:t>
      </w:r>
    </w:p>
    <w:bookmarkEnd w:id="27"/>
    <w:bookmarkStart w:id="28" w:name="X613d5007239fff9e9f6d5412c71e54d75ba6ec9"/>
    <w:p>
      <w:pPr>
        <w:pStyle w:val="Heading2"/>
      </w:pPr>
      <w:r>
        <w:t xml:space="preserve">6. Case Study: Digital Transformation in a Frankfurt Manufacturing Firm</w:t>
      </w:r>
    </w:p>
    <w:p>
      <w:pPr>
        <w:pStyle w:val="FirstParagraph"/>
      </w:pPr>
      <w:r>
        <w:t xml:space="preserve">To illustrate the practical application of these findings, we examine a hypothetical case study labeled "Project Alpha."</w:t>
      </w:r>
    </w:p>
    <w:p>
      <w:pPr>
        <w:numPr>
          <w:ilvl w:val="0"/>
          <w:numId w:val="1001"/>
        </w:numPr>
        <w:pStyle w:val="Compact"/>
      </w:pPr>
      <w:r>
        <w:rPr>
          <w:bCs/>
          <w:b/>
        </w:rPr>
        <w:t xml:space="preserve">Patient:</w:t>
      </w:r>
      <w:r>
        <w:t xml:space="preserve"> </w:t>
      </w:r>
      <w:r>
        <w:t xml:space="preserve">A mid-sized industrial supplier located in the Rhine-Main area.</w:t>
      </w:r>
    </w:p>
    <w:p>
      <w:pPr>
        <w:numPr>
          <w:ilvl w:val="0"/>
          <w:numId w:val="1001"/>
        </w:numPr>
        <w:pStyle w:val="Compact"/>
      </w:pPr>
      <w:r>
        <w:rPr>
          <w:bCs/>
          <w:b/>
        </w:rPr>
        <w:t xml:space="preserve">Issue:</w:t>
      </w:r>
      <w:r>
        <w:t xml:space="preserve"> </w:t>
      </w:r>
      <w:r>
        <w:t xml:space="preserve">Inefficient legacy systems causing delays in supply chain logistics.</w:t>
      </w:r>
    </w:p>
    <w:p>
      <w:pPr>
        <w:numPr>
          <w:ilvl w:val="0"/>
          <w:numId w:val="1001"/>
        </w:numPr>
        <w:pStyle w:val="Compact"/>
      </w:pPr>
      <w:r>
        <w:rPr>
          <w:bCs/>
          <w:b/>
        </w:rPr>
        <w:t xml:space="preserve">Action by Business Consultant:</w:t>
      </w:r>
      <w:r>
        <w:t xml:space="preserve">The consultant introduced a phased digitalization plan that respected employee union agreements (Betriebsrat), a critical legal requirement in Germany. The approach was collaborative rather than directive, respecting the local hierarchy.</w:t>
      </w:r>
    </w:p>
    <w:p>
      <w:pPr>
        <w:numPr>
          <w:ilvl w:val="0"/>
          <w:numId w:val="1001"/>
        </w:numPr>
        <w:pStyle w:val="Compact"/>
      </w:pPr>
      <w:r>
        <w:rPr>
          <w:bCs/>
          <w:b/>
        </w:rPr>
        <w:t xml:space="preserve">Outcome:</w:t>
      </w:r>
      <w:r>
        <w:t xml:space="preserve"> </w:t>
      </w:r>
      <w:r>
        <w:t xml:space="preserve">A 15% increase in operational efficiency over six months with zero labor disputes.</w:t>
      </w:r>
    </w:p>
    <w:p>
      <w:pPr>
        <w:pStyle w:val="FirstParagraph"/>
      </w:pPr>
      <w:r>
        <w:t xml:space="preserve">This case demonstrates that a successful</w:t>
      </w:r>
      <w:r>
        <w:t xml:space="preserve"> </w:t>
      </w:r>
      <w:r>
        <w:rPr>
          <w:bCs/>
          <w:b/>
        </w:rPr>
        <w:t xml:space="preserve">Buiness Consultant</w:t>
      </w:r>
      <w:r>
        <w:t xml:space="preserve"> </w:t>
      </w:r>
      <w:r>
        <w:t xml:space="preserve">in Frankfurt does not impose external solutions blindly but adapts them to the rigid social and legal frameworks of the region.</w:t>
      </w:r>
    </w:p>
    <w:bookmarkEnd w:id="28"/>
    <w:bookmarkStart w:id="29" w:name="conclusion"/>
    <w:p>
      <w:pPr>
        <w:pStyle w:val="Heading2"/>
      </w:pPr>
      <w:r>
        <w:t xml:space="preserve">7. Conclusion</w:t>
      </w:r>
    </w:p>
    <w:p>
      <w:pPr>
        <w:pStyle w:val="FirstParagraph"/>
      </w:pPr>
      <w:r>
        <w:t xml:space="preserve">This Lab Report concludes that the effectiveness of a</w:t>
      </w:r>
      <w:r>
        <w:t xml:space="preserve"> </w:t>
      </w:r>
      <w:r>
        <w:rPr>
          <w:bCs/>
          <w:b/>
        </w:rPr>
        <w:t xml:space="preserve">Buiness Consultant</w:t>
      </w:r>
      <w:r>
        <w:t xml:space="preserve"> </w:t>
      </w:r>
      <w:r>
        <w:t xml:space="preserve">is directly correlated with their ability to integrate into the specific socio-economic fabric of</w:t>
      </w:r>
      <w:r>
        <w:t xml:space="preserve"> </w:t>
      </w:r>
      <w:r>
        <w:rPr>
          <w:bCs/>
          <w:b/>
        </w:rPr>
        <w:t xml:space="preserve">Germany Frankfurt</w:t>
      </w:r>
      <w:r>
        <w:t xml:space="preserve">. It is not enough to possess generic business skills; one must master the nuances of German corporate law, cultural expectations regarding precision and privacy, and the city's focus on financial stability.</w:t>
      </w:r>
    </w:p>
    <w:p>
      <w:pPr>
        <w:pStyle w:val="BodyText"/>
      </w:pPr>
      <w:r>
        <w:t xml:space="preserve">For firms looking to deploy consultants in this region, the following recommendations are made based on our analysis:</w:t>
      </w:r>
    </w:p>
    <w:p>
      <w:pPr>
        <w:numPr>
          <w:ilvl w:val="0"/>
          <w:numId w:val="1002"/>
        </w:numPr>
        <w:pStyle w:val="Compact"/>
      </w:pPr>
      <w:r>
        <w:rPr>
          <w:bCs/>
          <w:b/>
        </w:rPr>
        <w:t xml:space="preserve">Specialization is Key:</w:t>
      </w:r>
      <w:r>
        <w:t xml:space="preserve"> </w:t>
      </w:r>
      <w:r>
        <w:t xml:space="preserve">Focus on niche sectors like fintech compliance or industrial 4.0.</w:t>
      </w:r>
    </w:p>
    <w:p>
      <w:pPr>
        <w:numPr>
          <w:ilvl w:val="0"/>
          <w:numId w:val="1002"/>
        </w:numPr>
        <w:pStyle w:val="Compact"/>
      </w:pPr>
      <w:r>
        <w:rPr>
          <w:bCs/>
          <w:b/>
        </w:rPr>
        <w:t xml:space="preserve">Cultural Competence:</w:t>
      </w:r>
      <w:r>
        <w:t xml:space="preserve"> </w:t>
      </w:r>
      <w:r>
        <w:t xml:space="preserve">Invest in German language training for all consultants.</w:t>
      </w:r>
    </w:p>
    <w:p>
      <w:pPr>
        <w:pStyle w:val="BlockText"/>
      </w:pPr>
      <w:r>
        <w:t xml:space="preserve">"In Frankfurt, trust is built through competence and consistency. A Business Consultant must prove their worth not through promises, but through demonstrable, compliant results."</w:t>
      </w:r>
    </w:p>
    <w:bookmarkEnd w:id="29"/>
    <w:bookmarkStart w:id="30" w:name="references-and-further-reading"/>
    <w:p>
      <w:pPr>
        <w:pStyle w:val="Heading2"/>
      </w:pPr>
      <w:r>
        <w:t xml:space="preserve">8. References and Further Reading</w:t>
      </w:r>
    </w:p>
    <w:p>
      <w:pPr>
        <w:numPr>
          <w:ilvl w:val="0"/>
          <w:numId w:val="1003"/>
        </w:numPr>
        <w:pStyle w:val="Compact"/>
      </w:pPr>
      <w:r>
        <w:t xml:space="preserve">Federal Financial Supervisory Authority (BaFin) Annual Reports.</w:t>
      </w:r>
    </w:p>
    <w:p>
      <w:pPr>
        <w:numPr>
          <w:ilvl w:val="0"/>
          <w:numId w:val="1003"/>
        </w:numPr>
        <w:pStyle w:val="Compact"/>
      </w:pPr>
      <w:r>
        <w:t xml:space="preserve">Duesseldorf Institute for Competition Economics (DICE) on Regional Business Trends.</w:t>
      </w:r>
    </w:p>
    <w:p>
      <w:pPr>
        <w:numPr>
          <w:ilvl w:val="0"/>
          <w:numId w:val="1003"/>
        </w:numPr>
        <w:pStyle w:val="Compact"/>
      </w:pPr>
      <w:r>
        <w:t xml:space="preserve">The German Corporate Governance Code.</w:t>
      </w:r>
    </w:p>
    <w:p>
      <w:pPr>
        <w:numPr>
          <w:ilvl w:val="0"/>
          <w:numId w:val="1003"/>
        </w:numPr>
        <w:pStyle w:val="Compact"/>
      </w:pPr>
      <w:r>
        <w:t xml:space="preserve">Frankfurt School of Finance &amp; Management Research Papers on Sustainable Finance.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Business Consultant Optimization in Germany Frankfurt</dc:title>
  <dc:creator/>
  <dc:language>en</dc:language>
  <cp:keywords/>
  <dcterms:created xsi:type="dcterms:W3CDTF">2026-07-29T17:18:19Z</dcterms:created>
  <dcterms:modified xsi:type="dcterms:W3CDTF">2026-07-29T17:18:19Z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