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Germany</w:t>
      </w:r>
      <w:r>
        <w:t xml:space="preserve"> </w:t>
      </w:r>
      <w:r>
        <w:t xml:space="preserve">Munich</w:t>
      </w:r>
    </w:p>
    <w:bookmarkStart w:id="20" w:name="X329f3209ddd060a5b253387825b8a094a9e7909"/>
    <w:p>
      <w:pPr>
        <w:pStyle w:val="Heading1"/>
      </w:pPr>
      <w:r>
        <w:t xml:space="preserve">Laboratory Report: Comprehensive Analysis of the Business Consultant Role within the Munich Economic Ecosystem</w:t>
      </w:r>
    </w:p>
    <w:p>
      <w:pPr>
        <w:pStyle w:val="FirstParagraph"/>
      </w:pPr>
      <w:r>
        <w:rPr>
          <w:bCs/>
          <w:b/>
        </w:rPr>
        <w:t xml:space="preserve">Date:</w:t>
      </w:r>
      <w:r>
        <w:t xml:space="preserve"> </w:t>
      </w:r>
      <w:r>
        <w:t xml:space="preserve">October 26, 2023</w:t>
      </w:r>
      <w:r>
        <w:br/>
      </w:r>
      <w:r>
        <w:rPr>
          <w:bCs/>
          <w:b/>
        </w:rPr>
        <w:t xml:space="preserve">Location Context:</w:t>
      </w:r>
      <w:r>
        <w:t xml:space="preserve"> </w:t>
      </w:r>
      <w:r>
        <w:t xml:space="preserve">Germany, Munich (Bayern)</w:t>
      </w:r>
      <w:r>
        <w:br/>
      </w:r>
    </w:p>
    <w:p>
      <w:pPr>
        <w:pStyle w:val="BodyText"/>
      </w:pPr>
      <w:r>
        <w:t xml:space="preserve">Strategic Management and Operational Efficiency</w:t>
      </w:r>
    </w:p>
    <w:p>
      <w:pPr>
        <w:pStyle w:val="BodyText"/>
      </w:pPr>
      <w:r>
        <w:t xml:space="preserve">&gt;</w:t>
      </w:r>
    </w:p>
    <w:bookmarkEnd w:id="20"/>
    <w:p>
      <w:pPr>
        <w:pStyle w:val="BodyText"/>
      </w:pPr>
      <w:r>
        <w:t xml:space="preserve">&gt;</w:t>
      </w:r>
    </w:p>
    <w:bookmarkStart w:id="25" w:name="abstract"/>
    <w:p>
      <w:pPr>
        <w:pStyle w:val="Heading2"/>
      </w:pPr>
      <w:bookmarkStart w:id="21" w:name="abstract"/>
      <w:bookmarkEnd w:id="21"/>
      <w:r>
        <w:t xml:space="preserve">1. Abstract</w:t>
      </w:r>
    </w:p>
    <w:p>
      <w:pPr>
        <w:pStyle w:val="FirstParagraph"/>
      </w:pPr>
      <w:r>
        <w:t xml:space="preserve">&gt;</w:t>
      </w:r>
      <w:r>
        <w:t xml:space="preserve"> </w:t>
      </w:r>
      <w:r>
        <w:t xml:space="preserve">This Lab Report provides an exhaustive examination of the operational framework, strategic impact, and cultural integration requirements of a Business Consultant operating within the specific economic landscape of Munich, Germany. Munich is recognized globally not merely as a capital of Bavaria but as one of Europe's leading financial and technological hubs. Consequently, the role here transcends standard advisory functions; it requires a deep understanding local regulatory environments, strict adherence to engineering precision standards, and nuanced negotiation styles typical of the German corporate culture. This document details the methodological approach to consulting in this region, highlighting unique challenges such as works council interactions (</w:t>
      </w:r>
      <w:r>
        <w:rPr>
          <w:iCs/>
          <w:i/>
        </w:rPr>
        <w:t xml:space="preserve">Betriebsrat</w:t>
      </w:r>
      <w:r>
        <w:t xml:space="preserve">) and high compliance expectations.</w:t>
      </w:r>
      <w:bookmarkStart w:id="22" w:name="introduction"/>
      <w:bookmarkEnd w:id="22"/>
      <w:r>
        <w:t xml:space="preserve">2. Introduction</w:t>
      </w:r>
    </w:p>
    <w:p>
      <w:pPr>
        <w:pStyle w:val="BodyText"/>
      </w:pPr>
      <w:r>
        <w:t xml:space="preserve">&gt;</w:t>
      </w:r>
    </w:p>
    <w:bookmarkStart w:id="24" w:name="contextual-background-of-munich"/>
    <w:p>
      <w:pPr>
        <w:pStyle w:val="Heading3"/>
      </w:pPr>
      <w:r>
        <w:t xml:space="preserve">2.1 Contextual Background of Munich</w:t>
      </w:r>
    </w:p>
    <w:p>
      <w:pPr>
        <w:pStyle w:val="FirstParagraph"/>
      </w:pPr>
      <w:r>
        <w:t xml:space="preserve">&gt;</w:t>
      </w:r>
      <w:r>
        <w:t xml:space="preserve"> </w:t>
      </w:r>
      <w:r>
        <w:t xml:space="preserve">Munich represents a unique paradox in the German business landscape. It is characterized by a high cost of living and labor, yet it attracts top-tier talent from multinational corporations (MNCs) and robust Mittelstand (medium-sized enterprises). For the Business Consultant, Munich serves as both a laboratory for high-end corporate strategy and a testbed for innovation-driven transformation. The city hosts headquarters for giants such as Siemens, BMW, Allianz, and numerous tech startups in the "Isar-Alpha" district. Therefore, any consulting engagement in Munich must account for these established power structures alongside emerging agile methodologies.2.2 The Role of the Business Consultant</w:t>
      </w:r>
    </w:p>
    <w:p>
      <w:pPr>
        <w:pStyle w:val="BodyText"/>
      </w:pPr>
      <w:r>
        <w:t xml:space="preserve">&gt;</w:t>
      </w:r>
      <w:r>
        <w:t xml:space="preserve"> </w:t>
      </w:r>
      <w:r>
        <w:t xml:space="preserve">In this specific geographical context, a Business Consultant is not merely an external observer but an integrator of complex systems. The consultant must bridge the gap between legacy industrial practices and modern digital transformation goals. Unlike in more fluid markets like Silicon Valley or London, where rapid iteration is prized above all else, the Munich market demands stability, predictability, and thorough documentation before implementation. This lab report aims to dissect these expectations through a structured analysis of strategic planning phases.</w:t>
      </w:r>
      <w:bookmarkStart w:id="23" w:name="methodology"/>
      <w:bookmarkEnd w:id="23"/>
      <w:r>
        <w:t xml:space="preserve">3. Methodological Framework</w:t>
      </w:r>
    </w:p>
    <w:p>
      <w:pPr>
        <w:pStyle w:val="BodyText"/>
      </w:pPr>
      <w:r>
        <w:t xml:space="preserve">&gt;</w:t>
      </w:r>
      <w:r>
        <w:t xml:space="preserve"> </w:t>
      </w:r>
      <w:r>
        <w:t xml:space="preserve">The analysis for this report was constructed using a multi-phase consulting model adapted for the Bavarian region. The following phases were observed and documented:</w:t>
      </w:r>
    </w:p>
    <w:p>
      <w:pPr>
        <w:pStyle w:val="BodyText"/>
      </w:pPr>
      <w:r>
        <w:rPr>
          <w:bCs/>
          <w:b/>
        </w:rPr>
        <w:t xml:space="preserve">Data Acquisition Phase:</w:t>
      </w:r>
      <w:r>
        <w:t xml:space="preserve"> </w:t>
      </w:r>
      <w:r>
        <w:t xml:space="preserve">Gathering quantitative data on local tax laws, labor regulations (specifically the Works Constitution Act -</w:t>
      </w:r>
      <w:r>
        <w:t xml:space="preserve"> </w:t>
      </w:r>
      <w:r>
        <w:rPr>
          <w:iCs/>
          <w:i/>
        </w:rPr>
        <w:t xml:space="preserve">Betriebsverfassungsgesetz</w:t>
      </w:r>
      <w:r>
        <w:t xml:space="preserve">), and market trends in Bavaria.</w:t>
      </w:r>
    </w:p>
    <w:p>
      <w:pPr>
        <w:pStyle w:val="BodyText"/>
      </w:pPr>
      <w:r>
        <w:t xml:space="preserve">&gt;</w:t>
      </w:r>
    </w:p>
    <w:p>
      <w:pPr>
        <w:pStyle w:val="BodyText"/>
      </w:pPr>
      <w:r>
        <w:rPr>
          <w:bCs/>
          <w:b/>
        </w:rPr>
        <w:t xml:space="preserve">Cultural Assessment Phase:</w:t>
      </w:r>
      <w:r>
        <w:t xml:space="preserve"> </w:t>
      </w:r>
      <w:r>
        <w:t xml:space="preserve">Evaluating the decision-making hierarchy. In Munich, decisions are often consensus-driven among senior technical experts rather than purely hierarchical based on job titles.</w:t>
      </w:r>
    </w:p>
    <w:p>
      <w:pPr>
        <w:pStyle w:val="BodyText"/>
      </w:pPr>
      <w:r>
        <w:t xml:space="preserve">&gt;</w:t>
      </w:r>
    </w:p>
    <w:p>
      <w:pPr>
        <w:pStyle w:val="BodyText"/>
      </w:pPr>
      <w:r>
        <w:rPr>
          <w:bCs/>
          <w:b/>
        </w:rPr>
        <w:t xml:space="preserve">Strategic Formulation Phase:</w:t>
      </w:r>
      <w:r>
        <w:t xml:space="preserve"> </w:t>
      </w:r>
      <w:r>
        <w:t xml:space="preserve">Developing roadmaps that prioritize sustainability (ESG compliance) and engineering excellence, which are critical values for Munich-based stakeholders.</w:t>
      </w:r>
    </w:p>
    <w:p>
      <w:pPr>
        <w:pStyle w:val="BodyText"/>
      </w:pPr>
      <w:r>
        <w:t xml:space="preserve">&gt;</w:t>
      </w:r>
    </w:p>
    <w:p>
      <w:pPr>
        <w:pStyle w:val="BodyText"/>
      </w:pPr>
      <w:r>
        <w:rPr>
          <w:bCs/>
          <w:b/>
        </w:rPr>
        <w:t xml:space="preserve">Implementation Simulation:</w:t>
      </w:r>
      <w:r>
        <w:t xml:space="preserve"> </w:t>
      </w:r>
      <w:r>
        <w:t xml:space="preserve">Modeling the rollout of changes to assess resistance levels from internal unions and employee representatives.</w:t>
      </w:r>
    </w:p>
    <w:p>
      <w:pPr>
        <w:pStyle w:val="BodyText"/>
      </w:pPr>
      <w:r>
        <w:t xml:space="preserve">&gt;</w:t>
      </w:r>
    </w:p>
    <w:p>
      <w:pPr>
        <w:pStyle w:val="BodyText"/>
      </w:pPr>
      <w:r>
        <w:t xml:space="preserve">&gt;</w:t>
      </w:r>
    </w:p>
    <w:bookmarkEnd w:id="24"/>
    <w:bookmarkEnd w:id="25"/>
    <w:bookmarkStart w:id="31" w:name="key-findings"/>
    <w:p>
      <w:pPr>
        <w:pStyle w:val="Heading2"/>
      </w:pPr>
      <w:bookmarkStart w:id="26" w:name="findings"/>
      <w:bookmarkEnd w:id="26"/>
      <w:r>
        <w:t xml:space="preserve">4. Key Findings</w:t>
      </w:r>
    </w:p>
    <w:p>
      <w:pPr>
        <w:pStyle w:val="FirstParagraph"/>
      </w:pPr>
      <w:r>
        <w:t xml:space="preserve">&gt;</w:t>
      </w:r>
    </w:p>
    <w:bookmarkStart w:id="29" w:name="Xbfe70d62b53d51d91a045f4173ccacd52ed60f3"/>
    <w:p>
      <w:pPr>
        <w:pStyle w:val="Heading3"/>
      </w:pPr>
      <w:r>
        <w:t xml:space="preserve">4.1 The Importance of "Gründlichkeit" (Thoroughness)</w:t>
      </w:r>
    </w:p>
    <w:p>
      <w:pPr>
        <w:pStyle w:val="FirstParagraph"/>
      </w:pPr>
      <w:r>
        <w:t xml:space="preserve">&gt;</w:t>
      </w:r>
      <w:r>
        <w:t xml:space="preserve"> </w:t>
      </w:r>
      <w:r>
        <w:t xml:space="preserve">Our investigation reveals that the most critical success factor for a Business Consultant in Germany Munich is thoroughness. Preliminary meetings often fail if they lack detailed data backing up strategic suggestions. German clients, particularly those in Munich's automotive and engineering sectors, require comprehensive reports with footnotes, legal citations, and financial projections down to the cent. Vague promises of "agile transformation" without a clear risk assessment framework are typically rejected immediately.4.2 Regulatory Compliance as a Core Competency</w:t>
      </w:r>
    </w:p>
    <w:p>
      <w:pPr>
        <w:pStyle w:val="BodyText"/>
      </w:pPr>
      <w:r>
        <w:t xml:space="preserve">&gt;</w:t>
      </w:r>
      <w:r>
        <w:t xml:space="preserve"> </w:t>
      </w:r>
      <w:r>
        <w:t xml:space="preserve">Munich operates under strict EU and national German regulations. A Business Consultant must be proficient in GDPR (DSGVO) implications for data analytics projects and aware of the specific labor protections in Bavaria. For instance, proposing workforce reduction or restructuring without early engagement with the</w:t>
      </w:r>
      <w:r>
        <w:t xml:space="preserve"> </w:t>
      </w:r>
      <w:r>
        <w:rPr>
          <w:iCs/>
          <w:i/>
        </w:rPr>
        <w:t xml:space="preserve">Betriebsrat</w:t>
      </w:r>
      <w:r>
        <w:t xml:space="preserve"> </w:t>
      </w:r>
      <w:r>
        <w:t xml:space="preserve">can lead to legal injunctions that halt projects for months. The findings indicate that successful consultants in Munich integrate legal compliance into their initial business case, rather than treating it as an afterthought.4.3 Networking and Reputation</w:t>
      </w:r>
    </w:p>
    <w:p>
      <w:pPr>
        <w:pStyle w:val="BodyText"/>
      </w:pPr>
      <w:r>
        <w:t xml:space="preserve">&gt;</w:t>
      </w:r>
      <w:r>
        <w:t xml:space="preserve"> </w:t>
      </w:r>
      <w:r>
        <w:t xml:space="preserve">Unlike larger federal capitals like Berlin, Munich maintains a more closed-knit business community. Relationships are paramount. The Lab Report notes that trust is built over time through formal interactions and professional reliability. A Business Consultant relying solely on digital communication channels often fails to gain the necessary buy-in from senior management in Munich, who prefer face-to-face meetings held in formal settings.</w:t>
      </w:r>
      <w:bookmarkStart w:id="27" w:name="analysis"/>
      <w:bookmarkEnd w:id="27"/>
      <w:r>
        <w:t xml:space="preserve">5. Discussion</w:t>
      </w:r>
    </w:p>
    <w:p>
      <w:pPr>
        <w:pStyle w:val="BodyText"/>
      </w:pPr>
      <w:r>
        <w:t xml:space="preserve">&gt;</w:t>
      </w:r>
      <w:r>
        <w:t xml:space="preserve"> </w:t>
      </w:r>
      <w:r>
        <w:t xml:space="preserve">The intersection of modern business consultancy and traditional German values presents both challenges and opportunities. While the demand for digital innovation is high in Munich, the execution speed is deliberately slower to ensure quality control. This contrasts with consultants from more volatile markets who may find the Munich pace frustrating.</w:t>
      </w:r>
      <w:bookmarkStart w:id="28" w:name="conclusion"/>
      <w:bookmarkEnd w:id="28"/>
      <w:r>
        <w:t xml:space="preserve">6. Conclusion</w:t>
      </w:r>
    </w:p>
    <w:p>
      <w:pPr>
        <w:pStyle w:val="BodyText"/>
      </w:pPr>
      <w:r>
        <w:t xml:space="preserve">&gt;</w:t>
      </w:r>
      <w:r>
        <w:t xml:space="preserve"> </w:t>
      </w:r>
      <w:r>
        <w:t xml:space="preserve">In conclusion, the role of the Business Consultant in Germany Munich is distinct from generic advisory roles found elsewhere. It demands a hybrid profile: part strategic visionary, part legal compliance expert, and part cultural diplomat. The findings of this Lab Report suggest that success in this market is contingent upon respect for procedural rigor, deep engagement with local labor structures, and a commitment to high-quality data presentation.</w:t>
      </w:r>
    </w:p>
    <w:bookmarkEnd w:id="29"/>
    <w:bookmarkStart w:id="30" w:name="recommendations-for-future-practice"/>
    <w:p>
      <w:pPr>
        <w:pStyle w:val="Heading3"/>
      </w:pPr>
      <w:r>
        <w:t xml:space="preserve">Recommendations for Future Practice:</w:t>
      </w:r>
    </w:p>
    <w:p>
      <w:pPr>
        <w:pStyle w:val="FirstParagraph"/>
      </w:pPr>
      <w:r>
        <w:t xml:space="preserve">&gt;</w:t>
      </w:r>
    </w:p>
    <w:p>
      <w:pPr>
        <w:numPr>
          <w:ilvl w:val="0"/>
          <w:numId w:val="1001"/>
        </w:numPr>
        <w:pStyle w:val="Compact"/>
      </w:pPr>
      <w:r>
        <w:rPr>
          <w:bCs/>
          <w:b/>
        </w:rPr>
        <w:t xml:space="preserve">Hire Local Expertise:</w:t>
      </w:r>
      <w:r>
        <w:t xml:space="preserve"> </w:t>
      </w:r>
      <w:r>
        <w:t xml:space="preserve">Engage junior analysts familiar with Munich's specific regulatory landscape.</w:t>
      </w:r>
    </w:p>
    <w:p>
      <w:pPr>
        <w:numPr>
          <w:ilvl w:val="0"/>
          <w:numId w:val="1001"/>
        </w:numPr>
        <w:pStyle w:val="Compact"/>
      </w:pPr>
      <w:r>
        <w:rPr>
          <w:bCs/>
          <w:b/>
        </w:rPr>
        <w:t xml:space="preserve">Prioritize Face-to-Face Interaction:</w:t>
      </w:r>
      <w:r>
        <w:t xml:space="preserve"> </w:t>
      </w:r>
      <w:r>
        <w:t xml:space="preserve">Schedule initial strategy sessions in person to build trust.</w:t>
      </w:r>
    </w:p>
    <w:p>
      <w:pPr>
        <w:numPr>
          <w:ilvl w:val="0"/>
          <w:numId w:val="1001"/>
        </w:numPr>
        <w:pStyle w:val="Compact"/>
      </w:pPr>
      <w:r>
        <w:t xml:space="preserve">Detailed Documentation:: Ensure all deliverables are exhaustive, leaving no room for ambiguity regarding risk or liability.</w:t>
      </w:r>
    </w:p>
    <w:p>
      <w:pPr>
        <w:numPr>
          <w:ilvl w:val="0"/>
          <w:numId w:val="1000"/>
        </w:numPr>
        <w:pStyle w:val="Compact"/>
      </w:pPr>
      <w:r>
        <w:t xml:space="preserve">&gt;</w:t>
      </w:r>
    </w:p>
    <w:p>
      <w:pPr>
        <w:pStyle w:val="FirstParagraph"/>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Implementation in Germany Munich</dc:title>
  <dc:creator/>
  <dc:language>en</dc:language>
  <cp:keywords/>
  <dcterms:created xsi:type="dcterms:W3CDTF">2026-07-29T10:36:22Z</dcterms:created>
  <dcterms:modified xsi:type="dcterms:W3CDTF">2026-07-29T10:36:22Z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