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for</w:t>
      </w:r>
      <w:r>
        <w:t xml:space="preserve"> </w:t>
      </w:r>
      <w:r>
        <w:t xml:space="preserve">Indonesia</w:t>
      </w:r>
      <w:r>
        <w:t xml:space="preserve"> </w:t>
      </w:r>
      <w:r>
        <w:t xml:space="preserve">Jakarta</w:t>
      </w:r>
    </w:p>
    <w:p>
      <w:pPr>
        <w:pStyle w:val="FirstParagraph"/>
      </w:pPr>
      <w:r>
        <w:t xml:space="preserve">```html</w:t>
      </w:r>
    </w:p>
    <w:bookmarkStart w:id="33" w:name="Xaa66f9bff7fc446e6e11af01ee22318d1a5e33b"/>
    <w:p>
      <w:pPr>
        <w:pStyle w:val="Heading1"/>
      </w:pPr>
      <w:r>
        <w:t xml:space="preserve">Lab Report: Strategic Implementation of Business Consultant Services in Indonesia Jakarta</w:t>
      </w:r>
    </w:p>
    <w:p>
      <w:pPr>
        <w:pStyle w:val="FirstParagraph"/>
      </w:pPr>
      <w:r>
        <w:rPr>
          <w:bCs/>
          <w:b/>
        </w:rPr>
        <w:t xml:space="preserve">Date:</w:t>
      </w:r>
      <w:r>
        <w:t xml:space="preserve"> </w:t>
      </w:r>
      <w:r>
        <w:t xml:space="preserve">October 26, 2023</w:t>
      </w:r>
      <w:r>
        <w:br/>
      </w:r>
      <w:r>
        <w:rPr>
          <w:bCs/>
          <w:b/>
        </w:rPr>
        <w:t xml:space="preserve">Laboratory/Department:</w:t>
      </w:r>
      <w:r>
        <w:t xml:space="preserve">Southeast Asia Market Analysis Division</w:t>
      </w:r>
      <w:r>
        <w:br/>
      </w:r>
      <w:r>
        <w:t xml:space="preserve">Optimizing Business Consultant Frameworks for the Indonesian Capital</w:t>
      </w:r>
      <w:r>
        <w:br/>
      </w:r>
    </w:p>
    <w:p>
      <w:pPr>
        <w:pStyle w:val="BodyText"/>
      </w:pPr>
      <w:r>
        <w:t xml:space="preserve">Status: Preliminary Findings</w:t>
      </w:r>
    </w:p>
    <w:bookmarkStart w:id="20" w:name="abstract"/>
    <w:p>
      <w:pPr>
        <w:pStyle w:val="Heading2"/>
      </w:pPr>
      <w:r>
        <w:t xml:space="preserve">1.0 Abstract</w:t>
      </w:r>
    </w:p>
    <w:p>
      <w:pPr>
        <w:pStyle w:val="FirstParagraph"/>
      </w:pPr>
      <w:r>
        <w:t xml:space="preserve">This laboratory report outlines the critical parameters, challenges, and opportunities associated with deploying a high-impact Business Consultant service model within Indonesia Jakarta. As the economic heart of Indonesia, Jakarta presents a unique ecosystem characterized by rapid digitalization, complex regulatory environments, and intense market competition. The objective of this study is to determine how international best practices in business consulting can be adapted to local Indonesian cultural and economic nuances. This report argues that successful consultancy in Indonesia Jakarta requires not only technical expertise but also deep localization strategies involving stakeholder engagement, regulatory navigation, and digital transformation support.</w:t>
      </w:r>
    </w:p>
    <w:bookmarkEnd w:id="20"/>
    <w:bookmarkStart w:id="21" w:name="introduction"/>
    <w:p>
      <w:pPr>
        <w:pStyle w:val="Heading2"/>
      </w:pPr>
      <w:r>
        <w:t xml:space="preserve">2.0 Introduction</w:t>
      </w:r>
    </w:p>
    <w:p>
      <w:pPr>
        <w:pStyle w:val="FirstParagraph"/>
      </w:pPr>
      <w:r>
        <w:t xml:space="preserve">The role of a Business Consultant has evolved significantly over the past decade. In emerging markets like Indonesia, consultants are no longer merely advisors on operational efficiency but act as strategic partners in navigating macroeconomic shifts. Jakarta, as the capital city and primary hub for commerce in Indonesia Jakarta, serves as the testing ground for these strategies. The city hosts headquarters of multinational corporations, growing startups (the "unicorn" ecosystem), and traditional family-owned conglomerates.</w:t>
      </w:r>
    </w:p>
    <w:p>
      <w:pPr>
        <w:pStyle w:val="BodyText"/>
      </w:pPr>
      <w:r>
        <w:t xml:space="preserve">This lab report investigates three core dimensions: Regulatory Compliance, Digital Adoption, and Cultural Integration. By analyzing current market data in Indonesia Jakarta, we aim to provide a structured approach for Business Consultant firms seeking to establish or expand their footprint in this dynamic region. The hypothesis is that consultants who integrate local 'Gotong Royong' (mutual cooperation) principles with global analytical frameworks will achieve higher client retention and project success rates.</w:t>
      </w:r>
    </w:p>
    <w:bookmarkEnd w:id="21"/>
    <w:bookmarkStart w:id="25" w:name="market-context-indonesia-jakarta"/>
    <w:p>
      <w:pPr>
        <w:pStyle w:val="Heading2"/>
      </w:pPr>
      <w:r>
        <w:t xml:space="preserve">3.0 Market Context: Indonesia Jakarta</w:t>
      </w:r>
    </w:p>
    <w:p>
      <w:pPr>
        <w:pStyle w:val="FirstParagraph"/>
      </w:pPr>
      <w:r>
        <w:t xml:space="preserve">To understand the utility of a Business Consultant in this region, one must first analyze the specific characteristics of Indonesia Jakarta. The following subsections detail the key market drivers.</w:t>
      </w:r>
    </w:p>
    <w:bookmarkStart w:id="22" w:name="economic-volatility-and-opportunity"/>
    <w:p>
      <w:pPr>
        <w:pStyle w:val="Heading3"/>
      </w:pPr>
      <w:r>
        <w:t xml:space="preserve">3.1 Economic Volatility and Opportunity</w:t>
      </w:r>
    </w:p>
    <w:p>
      <w:pPr>
        <w:pStyle w:val="FirstParagraph"/>
      </w:pPr>
      <w:r>
        <w:t xml:space="preserve">Jakarta is not just a city; it is an economic engine contributing significantly to Indonesia's GDP. However, it faces challenges such as infrastructure bottlenecks and inflationary pressures. Business Consultant services are in high demand to help firms hedge against these risks through supply chain diversification and cost-optimization strategies.</w:t>
      </w:r>
    </w:p>
    <w:bookmarkEnd w:id="22"/>
    <w:bookmarkStart w:id="23" w:name="regulatory-landscape"/>
    <w:p>
      <w:pPr>
        <w:pStyle w:val="Heading3"/>
      </w:pPr>
      <w:r>
        <w:t xml:space="preserve">3.2 Regulatory Landscape</w:t>
      </w:r>
    </w:p>
    <w:p>
      <w:pPr>
        <w:pStyle w:val="FirstParagraph"/>
      </w:pPr>
      <w:r>
        <w:t xml:space="preserve">The regulatory environment in Indonesia Jakarta is frequently updated. Recent omnibus laws aimed at improving the investment climate have created both confusion and opportunity. A Business Consultant must possess up-to-date knowledge regarding foreign ownership limits, labor laws, and tax incentives specific to special economic zones within Jakarta.</w:t>
      </w:r>
    </w:p>
    <w:bookmarkEnd w:id="23"/>
    <w:bookmarkStart w:id="24" w:name="the-digital-divide"/>
    <w:p>
      <w:pPr>
        <w:pStyle w:val="Heading3"/>
      </w:pPr>
      <w:r>
        <w:t xml:space="preserve">3.3 The Digital Divide</w:t>
      </w:r>
    </w:p>
    <w:p>
      <w:pPr>
        <w:pStyle w:val="FirstParagraph"/>
      </w:pPr>
      <w:r>
        <w:t xml:space="preserve">Jakarta has one of the highest rates of smartphone penetration in Southeast Asia. However, traditional businesses often lag in digital adoption compared to tech-native startups. There is a significant gap that Business Consultant firms can bridge by implementing ERP systems, CRM solutions, and data analytics tools tailored for SMEs (Small and Medium Enterprises) transitioning to digital platforms.</w:t>
      </w:r>
    </w:p>
    <w:bookmarkEnd w:id="24"/>
    <w:bookmarkEnd w:id="25"/>
    <w:bookmarkStart w:id="26" w:name="X1aa6952d5cb652f4d3aff91ba764fd2b9c6da1a"/>
    <w:p>
      <w:pPr>
        <w:pStyle w:val="Heading2"/>
      </w:pPr>
      <w:r>
        <w:t xml:space="preserve">4.0 Methodology: The Localized Consulting Framework</w:t>
      </w:r>
    </w:p>
    <w:p>
      <w:pPr>
        <w:pStyle w:val="FirstParagraph"/>
      </w:pPr>
      <w:r>
        <w:t xml:space="preserve">The proposed framework for Business Consultant engagement in Indonesia Jakarta moves beyond standard SWOT analysis. It incorporates a three-phase approach:</w:t>
      </w:r>
    </w:p>
    <w:p>
      <w:pPr>
        <w:numPr>
          <w:ilvl w:val="0"/>
          <w:numId w:val="1001"/>
        </w:numPr>
        <w:pStyle w:val="Compact"/>
      </w:pPr>
      <w:r>
        <w:rPr>
          <w:bCs/>
          <w:b/>
        </w:rPr>
        <w:t xml:space="preserve">Diagnostics &amp; Trust Building:</w:t>
      </w:r>
      <w:r>
        <w:t xml:space="preserve">In Indonesian culture, trust (Kepercayaan) is paramount before any transaction or advice is accepted. The initial phase involves extensive stakeholder interviews, respecting local hierarchy and communication styles.</w:t>
      </w:r>
    </w:p>
    <w:p>
      <w:pPr>
        <w:numPr>
          <w:ilvl w:val="0"/>
          <w:numId w:val="1001"/>
        </w:numPr>
        <w:pStyle w:val="Compact"/>
      </w:pPr>
      <w:r>
        <w:rPr>
          <w:bCs/>
          <w:b/>
        </w:rPr>
        <w:t xml:space="preserve">Data-Driven Strategy Formulation:</w:t>
      </w:r>
      <w:r>
        <w:t xml:space="preserve">Utilizing quantitative data from Jakarta’s commercial districts to model scenarios. This includes analyzing consumer behavior in high-density areas like Sudirman-Thamrin corridors.</w:t>
      </w:r>
    </w:p>
    <w:bookmarkEnd w:id="26"/>
    <w:bookmarkStart w:id="27" w:name="key-service-areas-for-indonesia-jakarta"/>
    <w:p>
      <w:pPr>
        <w:pStyle w:val="Heading2"/>
      </w:pPr>
      <w:r>
        <w:t xml:space="preserve">5.0 Key Service Areas for Indonesia Jakarta</w:t>
      </w:r>
    </w:p>
    <w:p>
      <w:pPr>
        <w:pStyle w:val="FirstParagraph"/>
      </w:pPr>
      <w:r>
        <w:t xml:space="preserve">Based on preliminary research, the following service areas represent the highest demand for Business Consultant services in Indonesia Jakarta:</w:t>
      </w:r>
    </w:p>
    <w:p>
      <w:pPr>
        <w:pStyle w:val="BodyText"/>
      </w:pPr>
      <w:r>
        <w:t xml:space="preserve">Service Category</w:t>
      </w:r>
    </w:p>
    <w:p>
      <w:pPr>
        <w:pStyle w:val="BodyText"/>
      </w:pPr>
      <w:r>
        <w:t xml:space="preserve">Description</w:t>
      </w:r>
    </w:p>
    <w:p>
      <w:pPr>
        <w:pStyle w:val="BodyText"/>
      </w:pPr>
      <w:r>
        <w:rPr>
          <w:bCs/>
          <w:b/>
        </w:rPr>
        <w:t xml:space="preserve">Priority Level in Indonesia Jakarta</w:t>
      </w:r>
    </w:p>
    <w:p>
      <w:pPr>
        <w:pStyle w:val="BodyText"/>
      </w:pPr>
      <w:r>
        <w:t xml:space="preserve">Mergers &amp; Acquisitions (M&amp;A)</w:t>
      </w:r>
    </w:p>
    <w:p>
      <w:pPr>
        <w:pStyle w:val="BodyText"/>
      </w:pPr>
      <w:r>
        <w:t xml:space="preserve">Navigating cross-border acquisitions and local partnerships.High</w:t>
      </w:r>
    </w:p>
    <w:p>
      <w:pPr>
        <w:pStyle w:val="BodyText"/>
      </w:pPr>
      <w:r>
        <w:t xml:space="preserve">Adhering to new tax regulations in Jakarta’s business zones.</w:t>
      </w:r>
    </w:p>
    <w:p>
      <w:pPr>
        <w:pStyle w:val="BodyText"/>
      </w:pPr>
      <w:r>
        <w:rPr>
          <w:bCs/>
          <w:b/>
        </w:rPr>
        <w:t xml:space="preserve">Medium-High</w:t>
      </w:r>
      <w:r>
        <w:t xml:space="preserve">Integrating AI and big data into traditional retail and manufacturing.High</w:t>
      </w:r>
    </w:p>
    <w:p>
      <w:pPr>
        <w:pStyle w:val="BodyText"/>
      </w:pPr>
      <w:r>
        <w:t xml:space="preserve">Retaining talent in a competitive Jakarta labor market.</w:t>
      </w:r>
    </w:p>
    <w:p>
      <w:pPr>
        <w:pStyle w:val="BodyText"/>
      </w:pPr>
      <w:r>
        <w:rPr>
          <w:bCs/>
          <w:b/>
        </w:rPr>
        <w:t xml:space="preserve">Medium</w:t>
      </w:r>
      <w:r>
        <w:t xml:space="preserve">Meeting international standards for investors focusing on green initiatives.Emerging</w:t>
      </w:r>
    </w:p>
    <w:bookmarkEnd w:id="27"/>
    <w:bookmarkStart w:id="28" w:name="challenges-and-risk-mitigation"/>
    <w:p>
      <w:pPr>
        <w:pStyle w:val="Heading2"/>
      </w:pPr>
      <w:r>
        <w:t xml:space="preserve">6.0 Challenges and Risk Mitigation</w:t>
      </w:r>
    </w:p>
    <w:p>
      <w:pPr>
        <w:pStyle w:val="FirstParagraph"/>
      </w:pPr>
      <w:r>
        <w:rPr>
          <w:bCs/>
          <w:b/>
        </w:rPr>
        <w:t xml:space="preserve">Cultural Misinterpretation:</w:t>
      </w:r>
      <w:r>
        <w:br/>
      </w:r>
      <w:r>
        <w:t xml:space="preserve">One of the greatest risks for foreign Business Consultant firms is misunderstanding non-verbal communication and hierarchy in Indonesian corporate culture. For instance, direct confrontation is often avoided to maintain harmony. Consultants must be trained in indirect communication styles.</w:t>
      </w:r>
    </w:p>
    <w:p>
      <w:pPr>
        <w:pStyle w:val="BodyText"/>
      </w:pPr>
      <w:r>
        <w:rPr>
          <w:bCs/>
          <w:b/>
        </w:rPr>
        <w:t xml:space="preserve">Bureaucratic Delays:</w:t>
      </w:r>
      <w:r>
        <w:br/>
      </w:r>
      <w:r>
        <w:t xml:space="preserve">Jakarta’s bureaucracy can be slow. A Business Consultant must anticipate delays in government approvals and factor this into project timelines for clients.</w:t>
      </w:r>
    </w:p>
    <w:p>
      <w:pPr>
        <w:pStyle w:val="BodyText"/>
      </w:pPr>
      <w:r>
        <w:rPr>
          <w:bCs/>
          <w:b/>
        </w:rPr>
        <w:t xml:space="preserve">Data Privacy Concerns:</w:t>
      </w:r>
      <w:r>
        <w:br/>
      </w:r>
      <w:r>
        <w:t xml:space="preserve">With the implementation of Indonesia’s Personal Data Protection law, Business Consultant firms handling sensitive client data must ensure rigorous cybersecurity protocols are in place to avoid legal repercussions in Indonesia Jakarta.</w:t>
      </w:r>
    </w:p>
    <w:bookmarkEnd w:id="28"/>
    <w:bookmarkStart w:id="29" w:name="Xefca0d21d17af2ed1e0347fee942ca99197d070"/>
    <w:p>
      <w:pPr>
        <w:pStyle w:val="Heading2"/>
      </w:pPr>
      <w:r>
        <w:t xml:space="preserve">7.0 Case Study Analysis: The Retail Sector Transformation</w:t>
      </w:r>
    </w:p>
    <w:p>
      <w:pPr>
        <w:pStyle w:val="FirstParagraph"/>
      </w:pPr>
      <w:r>
        <w:t xml:space="preserve">A pilot project was conducted with a mid-sized retail conglomerate in central Jakarta. The Business Consultant team implemented an omnichannel strategy, integrating physical store inventory with e-commerce platforms.</w:t>
      </w:r>
    </w:p>
    <w:p>
      <w:pPr>
        <w:pStyle w:val="BodyText"/>
      </w:pPr>
      <w:r>
        <w:rPr>
          <w:bCs/>
          <w:b/>
        </w:rPr>
        <w:t xml:space="preserve">Problem:</w:t>
      </w:r>
      <w:r>
        <w:t xml:space="preserve"> </w:t>
      </w:r>
      <w:r>
        <w:t xml:space="preserve">Declining foot traffic in traditional malls due to shifting consumer preferences online.</w:t>
      </w:r>
    </w:p>
    <w:p>
      <w:pPr>
        <w:pStyle w:val="BodyText"/>
      </w:pPr>
      <w:r>
        <w:rPr>
          <w:bCs/>
          <w:b/>
        </w:rPr>
        <w:t xml:space="preserve">Intervention:</w:t>
      </w:r>
      <w:r>
        <w:t xml:space="preserve">Data analytics were used to identify peak shopping hours and product preferences. Staff retraining focused on digital customer engagement tools.</w:t>
      </w:r>
    </w:p>
    <w:bookmarkEnd w:id="29"/>
    <w:bookmarkStart w:id="30" w:name="recommendations"/>
    <w:p>
      <w:pPr>
        <w:pStyle w:val="Heading2"/>
      </w:pPr>
      <w:r>
        <w:t xml:space="preserve">8.0 Recommendations</w:t>
      </w:r>
    </w:p>
    <w:p>
      <w:pPr>
        <w:pStyle w:val="FirstParagraph"/>
      </w:pPr>
      <w:r>
        <w:t xml:space="preserve">Hire Local Experts:Relying solely on expatriate consultants is insufficient. Teams must include local economists, legal experts, and cultural liaisons who understand the nuances of Indonesia Jakarta.</w:t>
      </w:r>
    </w:p>
    <w:p>
      <w:pPr>
        <w:pStyle w:val="BodyText"/>
      </w:pPr>
      <w:r>
        <w:t xml:space="preserve">Focus on Sustainability: Build Government Relations: A robust network with local government bodies in Jakarta is essential for navigating permits and regulatory changes efficiently.</w:t>
      </w:r>
    </w:p>
    <w:p>
      <w:pPr>
        <w:pStyle w:val="BodyText"/>
      </w:pPr>
      <w:r>
        <w:t xml:space="preserve">Digital-First Approach: Even the delivery of consulting services should be digital. Using cloud-based collaboration tools resonates with the tech-savvy nature of Jakarta’s business community.</w:t>
      </w:r>
    </w:p>
    <w:bookmarkEnd w:id="30"/>
    <w:bookmarkStart w:id="31" w:name="conclusion"/>
    <w:p>
      <w:pPr>
        <w:pStyle w:val="Heading2"/>
      </w:pPr>
      <w:r>
        <w:t xml:space="preserve">9.0 Conclusion</w:t>
      </w:r>
    </w:p>
    <w:p>
      <w:pPr>
        <w:pStyle w:val="FirstParagraph"/>
      </w:pPr>
      <w:r>
        <w:t xml:space="preserve">The demand for professional Business Consultant services in Indonesia Jakarta is robust and growing. However, success in this market requires more than just intellectual capital; it demands cultural empathy, regulatory agility, and technological proficiency. This lab report has demonstrated that by adapting global consulting standards to the specific context of Indonesia Jakarta—considering its economic vibrancy, regulatory complexity, and digital trajectory—consultants can deliver substantial value.</w:t>
      </w:r>
    </w:p>
    <w:p>
      <w:pPr>
        <w:pStyle w:val="BodyText"/>
      </w:pPr>
      <w:r>
        <w:t xml:space="preserve">Future research should focus on the impact of decentralization policies in Indonesia on Jakarta’s dominance as a business hub. As other cities in Java begin to develop their own industrial zones, the role of Business Consultant services may shift towards regional integration strategies. For now, Jakarta remains the critical node for business innovation in Southeast Asia.</w:t>
      </w:r>
    </w:p>
    <w:bookmarkEnd w:id="31"/>
    <w:bookmarkStart w:id="32" w:name="references"/>
    <w:p>
      <w:pPr>
        <w:pStyle w:val="Heading2"/>
      </w:pPr>
      <w:r>
        <w:t xml:space="preserve">10.0 References</w:t>
      </w:r>
    </w:p>
    <w:p>
      <w:pPr>
        <w:numPr>
          <w:ilvl w:val="0"/>
          <w:numId w:val="1002"/>
        </w:numPr>
        <w:pStyle w:val="Compact"/>
      </w:pPr>
      <w:r>
        <w:t xml:space="preserve">Ministry of Investment/BKPM Indonesia. (2023). *Investment Climate Statement*.</w:t>
      </w:r>
    </w:p>
    <w:p>
      <w:pPr>
        <w:numPr>
          <w:ilvl w:val="0"/>
          <w:numId w:val="1002"/>
        </w:numPr>
        <w:pStyle w:val="Compact"/>
      </w:pPr>
      <w:r>
        <w:t xml:space="preserve">Bureau of Statistics Indonesia (BPS). (Jakarta, 2023).*Economic Growth Data*.</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for Indonesia Jakarta</dc:title>
  <dc:creator/>
  <dc:language>en</dc:language>
  <cp:keywords/>
  <dcterms:created xsi:type="dcterms:W3CDTF">2026-07-29T18:24:26Z</dcterms:created>
  <dcterms:modified xsi:type="dcterms:W3CDTF">2026-07-29T18:24:26Z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