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Iraq,</w:t>
      </w:r>
      <w:r>
        <w:t xml:space="preserve"> </w:t>
      </w:r>
      <w:r>
        <w:t xml:space="preserve">Baghdad</w:t>
      </w:r>
    </w:p>
    <w:bookmarkStart w:id="32" w:name="Xa9c6d541da55a36bf1ea2081064892790c7822c"/>
    <w:p>
      <w:pPr>
        <w:pStyle w:val="Heading1"/>
      </w:pPr>
      <w:r>
        <w:t xml:space="preserve">Laboratory Report on Economic and Strategic Frameworks</w:t>
      </w:r>
      <w:r>
        <w:br/>
      </w:r>
      <w:r>
        <w:t xml:space="preserve">A Study on the Role of the Business Consultant in Iraq, Baghdad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Application of Modern Business Consultancy Principles in Post-Conflict Economic Zones</w:t>
      </w:r>
      <w:r>
        <w:br/>
      </w:r>
      <w:r>
        <w:rPr>
          <w:bCs/>
          <w:b/>
        </w:rPr>
        <w:t xml:space="preserve">Distribution:</w:t>
      </w:r>
      <w:r>
        <w:br/>
      </w:r>
      <w:r>
        <w:t xml:space="preserve">    The Ministry of Planning, Iraq</w:t>
      </w:r>
      <w:r>
        <w:br/>
      </w:r>
      <w:r>
        <w:t xml:space="preserve">    Foreign Investment Commission, Baghdad</w:t>
      </w:r>
      <w:r>
        <w:br/>
      </w:r>
      <w:r>
        <w:t xml:space="preserve">    Private Sector Development Unit, Iraq</w:t>
      </w:r>
    </w:p>
    <w:p>
      <w:pPr>
        <w:pStyle w:val="BodyText"/>
      </w:pPr>
      <w:r>
        <w:t xml:space="preserve">This document serves as the formal record of the analysis regarding the integration of international business consultancy standards within the specific economic and cultural landscape of Baghdad, Iraq. The purpose of this "Lab Report" format is to treat economic development as an experiment in applied social science, where variables such as regulatory frameworks, cultural dynamics, and global market integration are tested against traditional local practices. This report argues that the</w:t>
      </w:r>
      <w:r>
        <w:t xml:space="preserve"> </w:t>
      </w:r>
      <w:r>
        <w:rPr>
          <w:bCs/>
          <w:b/>
        </w:rPr>
        <w:t xml:space="preserve">Business Consultant</w:t>
      </w:r>
      <w:r>
        <w:t xml:space="preserve"> </w:t>
      </w:r>
      <w:r>
        <w:t xml:space="preserve">is not merely an advisor but a critical catalyst for stability and growth in</w:t>
      </w:r>
      <w:r>
        <w:t xml:space="preserve"> </w:t>
      </w:r>
      <w:r>
        <w:rPr>
          <w:bCs/>
          <w:b/>
        </w:rPr>
        <w:t xml:space="preserve">Iraq Baghdad</w:t>
      </w:r>
      <w:r>
        <w:t xml:space="preserve">.</w:t>
      </w:r>
    </w:p>
    <w:bookmarkStart w:id="20" w:name="introduction-the-experimental-context"/>
    <w:p>
      <w:pPr>
        <w:pStyle w:val="Heading2"/>
      </w:pPr>
      <w:r>
        <w:t xml:space="preserve">1. Introduction: The Experimental Context</w:t>
      </w:r>
    </w:p>
    <w:p>
      <w:pPr>
        <w:pStyle w:val="FirstParagraph"/>
      </w:pPr>
      <w:r>
        <w:t xml:space="preserve">The economy of Iraq has undergone significant transformation over the past two decades. While oil remains the cornerstone, there is a pressing necessity to diversify into services, technology, and manufacturing. Baghdad, as the capital and largest city of Iraq, serves as the primary hub for this economic activity. However, navigating the regulatory environment in</w:t>
      </w:r>
      <w:r>
        <w:t xml:space="preserve"> </w:t>
      </w:r>
      <w:r>
        <w:rPr>
          <w:bCs/>
          <w:b/>
        </w:rPr>
        <w:t xml:space="preserve">Iraq Baghdad</w:t>
      </w:r>
      <w:r>
        <w:t xml:space="preserve"> </w:t>
      </w:r>
      <w:r>
        <w:t xml:space="preserve">requires specialized knowledge that transcends standard economic theory.</w:t>
      </w:r>
    </w:p>
    <w:p>
      <w:pPr>
        <w:pStyle w:val="BodyText"/>
      </w:pPr>
      <w:r>
        <w:t xml:space="preserve">In this framework, we define the "Lab" as the dynamic market environment of Baghdad. The "Subject" is the local enterprise seeking growth or foreign direct investment (FDI). The independent variable, or the agent of change, is the</w:t>
      </w:r>
      <w:r>
        <w:t xml:space="preserve"> </w:t>
      </w:r>
      <w:r>
        <w:rPr>
          <w:bCs/>
          <w:b/>
        </w:rPr>
        <w:t xml:space="preserve">Business Consultant</w:t>
      </w:r>
      <w:r>
        <w:t xml:space="preserve">. This report analyzes how this agent influences dependent variables such as compliance rates, operational efficiency, and investor confidence.</w:t>
      </w:r>
    </w:p>
    <w:bookmarkEnd w:id="20"/>
    <w:bookmarkStart w:id="21" w:name="methodology-analytical-framework"/>
    <w:p>
      <w:pPr>
        <w:pStyle w:val="Heading2"/>
      </w:pPr>
      <w:r>
        <w:t xml:space="preserve">2. Methodology: Analytical Framework</w:t>
      </w:r>
    </w:p>
    <w:p>
      <w:pPr>
        <w:pStyle w:val="FirstParagraph"/>
      </w:pPr>
      <w:r>
        <w:t xml:space="preserve">To understand the efficacy of a</w:t>
      </w:r>
      <w:r>
        <w:t xml:space="preserve"> </w:t>
      </w:r>
      <w:r>
        <w:rPr>
          <w:bCs/>
          <w:b/>
        </w:rPr>
        <w:t xml:space="preserve">Business Consultant</w:t>
      </w:r>
      <w:r>
        <w:t xml:space="preserve">, we employed a multi-layered analytical approach tailored to the unique context of</w:t>
      </w:r>
      <w:r>
        <w:t xml:space="preserve"> </w:t>
      </w:r>
      <w:r>
        <w:rPr>
          <w:bCs/>
          <w:b/>
        </w:rPr>
        <w:t xml:space="preserve">Iraq Baghdad</w:t>
      </w:r>
      <w:r>
        <w:t xml:space="preserve">.</w:t>
      </w:r>
    </w:p>
    <w:p>
      <w:pPr>
        <w:numPr>
          <w:ilvl w:val="0"/>
          <w:numId w:val="1001"/>
        </w:numPr>
        <w:pStyle w:val="Compact"/>
      </w:pPr>
      <w:r>
        <w:rPr>
          <w:bCs/>
          <w:b/>
        </w:rPr>
        <w:t xml:space="preserve">Data Collection:</w:t>
      </w:r>
      <w:r>
        <w:t xml:space="preserve"> </w:t>
      </w:r>
      <w:r>
        <w:t xml:space="preserve">Analysis of regulatory changes issued by the Iraqi Council of Ministers and local municipal authorities in Baghdad.</w:t>
      </w:r>
    </w:p>
    <w:p>
      <w:pPr>
        <w:numPr>
          <w:ilvl w:val="0"/>
          <w:numId w:val="1001"/>
        </w:numPr>
        <w:pStyle w:val="Compact"/>
      </w:pPr>
      <w:r>
        <w:rPr>
          <w:bCs/>
          <w:b/>
        </w:rPr>
        <w:t xml:space="preserve">Cultural Assessment:</w:t>
      </w:r>
      <w:r>
        <w:t xml:space="preserve"> </w:t>
      </w:r>
      <w:r>
        <w:t xml:space="preserve">Evaluation of tribal structures, networking norms (Wasta), and their intersection with modern corporate governance.</w:t>
      </w:r>
    </w:p>
    <w:p>
      <w:pPr>
        <w:numPr>
          <w:ilvl w:val="0"/>
          <w:numId w:val="1001"/>
        </w:numPr>
        <w:pStyle w:val="Compact"/>
      </w:pPr>
      <w:r>
        <w:t xml:space="preserve">&lt; comparative Case Studies: Examining successful FDI projects in Baghdad’s Karrada and Mansour districts versus failed ventures due to non-compliance.</w:t>
      </w:r>
    </w:p>
    <w:p>
      <w:pPr>
        <w:pStyle w:val="FirstParagraph"/>
      </w:pPr>
      <w:r>
        <w:t xml:space="preserve">The methodology prioritizes qualitative insights alongside quantitative metrics, recognizing that business in Iraq is heavily relationship-driven. The role of the consultant is thus viewed through a dual lens: technical expert and cultural intermediary.</w:t>
      </w:r>
    </w:p>
    <w:bookmarkEnd w:id="21"/>
    <w:bookmarkStart w:id="24" w:name="observations-the-landscape-of-baghdad"/>
    <w:p>
      <w:pPr>
        <w:pStyle w:val="Heading2"/>
      </w:pPr>
      <w:r>
        <w:t xml:space="preserve">3. Observations: The Landscape of Baghdad</w:t>
      </w:r>
    </w:p>
    <w:bookmarkStart w:id="22" w:name="regulatory-volatility"/>
    <w:p>
      <w:pPr>
        <w:pStyle w:val="Heading3"/>
      </w:pPr>
      <w:r>
        <w:t xml:space="preserve">3.1 Regulatory Volatility</w:t>
      </w:r>
    </w:p>
    <w:p>
      <w:pPr>
        <w:pStyle w:val="FirstParagraph"/>
      </w:pPr>
      <w:r>
        <w:t xml:space="preserve">A primary observation in this "lab" is the volatility of regulatory frameworks in Iraq. While the central government in Baghdad strives for stability, local implementation can vary significantly between ministries. A standard international business plan often fails without adaptation to these nuances.</w:t>
      </w:r>
    </w:p>
    <w:bookmarkEnd w:id="22"/>
    <w:bookmarkStart w:id="23" w:name="the-trust-deficit"/>
    <w:p>
      <w:pPr>
        <w:pStyle w:val="Heading3"/>
      </w:pPr>
      <w:r>
        <w:t xml:space="preserve">3.2 The Trust Deficit</w:t>
      </w:r>
    </w:p>
    <w:p>
      <w:pPr>
        <w:pStyle w:val="FirstParagraph"/>
      </w:pPr>
      <w:r>
        <w:t xml:space="preserve">In many developed markets, contracts are the primary enforcement mechanism. In Iraq Baghdad, trust is built through personal relationships and reputation management. This creates a unique barrier for foreign investors who lack local networks.</w:t>
      </w:r>
    </w:p>
    <w:bookmarkEnd w:id="23"/>
    <w:bookmarkEnd w:id="24"/>
    <w:bookmarkStart w:id="28" w:name="X4542b0f28693f07b728a4ac743dc8b1391c8d0c"/>
    <w:p>
      <w:pPr>
        <w:pStyle w:val="Heading2"/>
      </w:pPr>
      <w:r>
        <w:t xml:space="preserve">4. Analysis: The Role of the Business Consultant</w:t>
      </w:r>
    </w:p>
    <w:p>
      <w:pPr>
        <w:pStyle w:val="FirstParagraph"/>
      </w:pPr>
      <w:r>
        <w:t xml:space="preserve">The core finding of this report is that the</w:t>
      </w:r>
      <w:r>
        <w:t xml:space="preserve"> </w:t>
      </w:r>
      <w:r>
        <w:rPr>
          <w:bCs/>
          <w:b/>
        </w:rPr>
        <w:t xml:space="preserve">Business Consultant</w:t>
      </w:r>
      <w:r>
        <w:t xml:space="preserve"> </w:t>
      </w:r>
      <w:r>
        <w:t xml:space="preserve">acts as a bridge between abstract international standards and the grounded reality of life in Iraq Baghdad. Their functions can be categorized into three distinct areas:</w:t>
      </w:r>
    </w:p>
    <w:bookmarkStart w:id="25" w:name="a.-regulatory-navigation-and-compliance"/>
    <w:p>
      <w:pPr>
        <w:pStyle w:val="Heading4"/>
      </w:pPr>
      <w:r>
        <w:t xml:space="preserve">A. Regulatory Navigation and Compliance</w:t>
      </w:r>
    </w:p>
    <w:p>
      <w:pPr>
        <w:pStyle w:val="FirstParagraph"/>
      </w:pPr>
      <w:r>
        <w:t xml:space="preserve">The consultant possesses the technical expertise to interpret complex Iraqi labor laws, tax regulations, and import/export restrictions. In Baghdad’s competitive market, a delay in licensing due to paperwork errors can result in significant financial loss. The consultant mitigates this risk by ensuring that all business entities are fully compliant with the latest directives from the Baghdad Municipality and federal bodies.</w:t>
      </w:r>
    </w:p>
    <w:bookmarkEnd w:id="25"/>
    <w:bookmarkStart w:id="26" w:name="b.-cultural-mediation"/>
    <w:p>
      <w:pPr>
        <w:pStyle w:val="Heading4"/>
      </w:pPr>
      <w:r>
        <w:t xml:space="preserve">B. Cultural Mediation</w:t>
      </w:r>
    </w:p>
    <w:p>
      <w:pPr>
        <w:pStyle w:val="FirstParagraph"/>
      </w:pPr>
      <w:r>
        <w:t xml:space="preserve">The consultant serves as a cultural translator. In Iraq, business is conducted with an understanding of hierarchy and respect for seniority. A foreign entity may inadvertently offend potential partners by bypassing traditional decision-making structures. The consultant advises on the appropriate protocols, ensuring that negotiations in Baghdad proceed smoothly and respectfully.</w:t>
      </w:r>
    </w:p>
    <w:bookmarkEnd w:id="26"/>
    <w:bookmarkStart w:id="27" w:name="c.-strategic-localization"/>
    <w:p>
      <w:pPr>
        <w:pStyle w:val="Heading4"/>
      </w:pPr>
      <w:r>
        <w:t xml:space="preserve">C. Strategic Localization</w:t>
      </w:r>
    </w:p>
    <w:p>
      <w:pPr>
        <w:pStyle w:val="FirstParagraph"/>
      </w:pPr>
      <w:r>
        <w:t xml:space="preserve">A generic global strategy rarely succeeds in Iraq Baghdad without localization. The consultant analyzes local consumer behavior, which is influenced by both modern digital trends and traditional community values. For instance, marketing strategies must account for religious holidays and social gatherings prevalent in the region.</w:t>
      </w:r>
    </w:p>
    <w:bookmarkEnd w:id="27"/>
    <w:bookmarkEnd w:id="28"/>
    <w:bookmarkStart w:id="29" w:name="case-study-technology-sector-integration"/>
    <w:p>
      <w:pPr>
        <w:pStyle w:val="Heading2"/>
      </w:pPr>
      <w:r>
        <w:t xml:space="preserve">5. Case Study: Technology Sector Integration</w:t>
      </w:r>
    </w:p>
    <w:p>
      <w:pPr>
        <w:pStyle w:val="FirstParagraph"/>
      </w:pPr>
      <w:r>
        <w:t xml:space="preserve">To illustrate these points, we examine a hypothetical but representative case of a fintech startup attempting to enter the market in Baghdad. Without consultation, the firm faced rejection due to non-compliance with Central Bank of Iraq regulations regarding digital wallets.</w:t>
      </w:r>
    </w:p>
    <w:p>
      <w:pPr>
        <w:pStyle w:val="BodyText"/>
      </w:pPr>
      <w:r>
        <w:rPr>
          <w:bCs/>
          <w:b/>
        </w:rPr>
        <w:t xml:space="preserve">Phase</w:t>
      </w:r>
    </w:p>
    <w:p>
      <w:pPr>
        <w:pStyle w:val="BodyText"/>
      </w:pPr>
      <w:r>
        <w:rPr>
          <w:bCs/>
          <w:b/>
        </w:rPr>
        <w:t xml:space="preserve">Action without Consultant</w:t>
      </w:r>
    </w:p>
    <w:p>
      <w:pPr>
        <w:pStyle w:val="BodyText"/>
      </w:pPr>
      <w:r>
        <w:rPr>
          <w:bCs/>
          <w:b/>
        </w:rPr>
        <w:t xml:space="preserve">Action with Business Consultant in Iraq Baghdad</w:t>
      </w:r>
    </w:p>
    <w:p>
      <w:pPr>
        <w:pStyle w:val="BodyText"/>
      </w:pPr>
      <w:r>
        <w:t xml:space="preserve">Market Entry Strategy</w:t>
      </w:r>
      <w:r>
        <w:br/>
      </w:r>
      <w:r>
        <w:t xml:space="preserve">Data Gathering</w:t>
      </w:r>
    </w:p>
    <w:p>
      <w:pPr>
        <w:pStyle w:val="BodyText"/>
      </w:pPr>
      <w:r>
        <w:t xml:space="preserve">&gt;Standard Western Pitch</w:t>
      </w:r>
      <w:r>
        <w:br/>
      </w:r>
      <w:r>
        <w:t xml:space="preserve">Idealized Data Projections</w:t>
      </w:r>
      <w:r>
        <w:br/>
      </w:r>
      <w:r>
        <w:t xml:space="preserve">Rapid Launch Attempted|Cultural Adaptation of Pitch|Localized Data Analysis including informal economy factors|Staged Rollout aligned with regulatory approval</w:t>
      </w:r>
    </w:p>
    <w:p>
      <w:pPr>
        <w:pStyle w:val="BodyText"/>
      </w:pPr>
      <w:r>
        <w:t xml:space="preserve">The introduction of the</w:t>
      </w:r>
      <w:r>
        <w:t xml:space="preserve"> </w:t>
      </w:r>
      <w:r>
        <w:rPr>
          <w:bCs/>
          <w:b/>
        </w:rPr>
        <w:t xml:space="preserve">Business Consultant</w:t>
      </w:r>
      <w:r>
        <w:t xml:space="preserve"> </w:t>
      </w:r>
      <w:r>
        <w:t xml:space="preserve">transformed a potential failure into a compliant and culturally accepted market entry. The consultant facilitated introductions to key stakeholders in Baghdad’s financial district, bypassing bureaucratic bottlenecks through established relationships.</w:t>
      </w:r>
    </w:p>
    <w:bookmarkEnd w:id="29"/>
    <w:bookmarkStart w:id="30" w:name="discussion-challenges-and-variables"/>
    <w:p>
      <w:pPr>
        <w:pStyle w:val="Heading2"/>
      </w:pPr>
      <w:r>
        <w:t xml:space="preserve">6. Discussion: Challenges and Variables</w:t>
      </w:r>
    </w:p>
    <w:p>
      <w:pPr>
        <w:pStyle w:val="FirstParagraph"/>
      </w:pPr>
      <w:r>
        <w:t xml:space="preserve">The implementation of consultancy models in Iraq Baghdad is not without challenges. Infrastructure limitations, including electricity supply and internet connectivity, require consultants to advise on contingency planning—such as backup power solutions for data centers. Furthermore, the security landscape, while improved in central Baghdad, still requires careful logistics planning.</w:t>
      </w:r>
    </w:p>
    <w:p>
      <w:pPr>
        <w:pStyle w:val="BodyText"/>
      </w:pPr>
      <w:r>
        <w:t xml:space="preserve">The consultant must therefore be versatile. They are not just strategists but also operational managers who understand the physical realities of doing business in Iraq. This holistic approach distinguishes successful consultancy from mere advisory services.</w:t>
      </w:r>
    </w:p>
    <w:bookmarkEnd w:id="30"/>
    <w:bookmarkStart w:id="31" w:name="conclusion"/>
    <w:p>
      <w:pPr>
        <w:pStyle w:val="Heading2"/>
      </w:pPr>
      <w:r>
        <w:t xml:space="preserve">7. Conclusion</w:t>
      </w:r>
    </w:p>
    <w:p>
      <w:pPr>
        <w:pStyle w:val="FirstParagraph"/>
      </w:pPr>
      <w:r>
        <w:t xml:space="preserve">This Lab Report concludes that the integration of professional Business Consultant services is imperative for sustainable economic development in Iraq Baghdad. The unique combination of regulatory complexity, cultural depth, and infrastructure challenges creates an environment where standard business practices are insufficient.</w:t>
      </w:r>
    </w:p>
    <w:p>
      <w:pPr>
        <w:pStyle w:val="BodyText"/>
      </w:pPr>
      <w:r>
        <w:t xml:space="preserve">The consultant acts as the stabilizing force in this economic experiment. By ensuring compliance, fostering trust, and localizing strategy, they reduce the friction between international ambition and Iraqi reality. For investors looking to engage with</w:t>
      </w:r>
      <w:r>
        <w:t xml:space="preserve"> </w:t>
      </w:r>
      <w:r>
        <w:rPr>
          <w:bCs/>
          <w:b/>
        </w:rPr>
        <w:t xml:space="preserve">Iraq Baghdad</w:t>
      </w:r>
      <w:r>
        <w:t xml:space="preserve">, engaging a qualified Business Consultant is not an optional expense but a fundamental requirement for success.</w:t>
      </w:r>
    </w:p>
    <w:p>
      <w:pPr>
        <w:pStyle w:val="BodyText"/>
      </w:pPr>
      <w:r>
        <w:t xml:space="preserve">Future research should focus on the long-term impact of consultancy-led firms on job creation and knowledge transfer within the Iraqi workforce, further validating the value proposition of this professional role in the region.</w:t>
      </w:r>
    </w:p>
    <w:p>
      <w:pPr>
        <w:pStyle w:val="BodyText"/>
      </w:pPr>
      <w:r>
        <w:br/>
      </w:r>
      <w:r>
        <w:br/>
      </w:r>
    </w:p>
    <w:p>
      <w:pPr>
        <w:pStyle w:val="BodyText"/>
      </w:pPr>
      <w:r>
        <w:rPr>
          <w:bCs/>
          <w:b/>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Consultancy in Iraq, Baghdad</dc:title>
  <dc:creator/>
  <dc:language>en</dc:language>
  <cp:keywords/>
  <dcterms:created xsi:type="dcterms:W3CDTF">2026-07-30T06:46:44Z</dcterms:created>
  <dcterms:modified xsi:type="dcterms:W3CDTF">2026-07-30T06:46:44Z</dcterms:modified>
</cp:coreProperties>
</file>

<file path=docProps/custom.xml><?xml version="1.0" encoding="utf-8"?>
<Properties xmlns="http://schemas.openxmlformats.org/officeDocument/2006/custom-properties" xmlns:vt="http://schemas.openxmlformats.org/officeDocument/2006/docPropsVTypes"/>
</file>