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Consultant</w:t>
      </w:r>
      <w:r>
        <w:t xml:space="preserve"> </w:t>
      </w:r>
      <w:r>
        <w:t xml:space="preserve">Strategy</w:t>
      </w:r>
      <w:r>
        <w:t xml:space="preserve"> </w:t>
      </w:r>
      <w:r>
        <w:t xml:space="preserve">for</w:t>
      </w:r>
      <w:r>
        <w:t xml:space="preserve"> </w:t>
      </w:r>
      <w:r>
        <w:t xml:space="preserve">Japan</w:t>
      </w:r>
      <w:r>
        <w:t xml:space="preserve"> </w:t>
      </w:r>
      <w:r>
        <w:t xml:space="preserve">Kyoto</w:t>
      </w:r>
    </w:p>
    <w:p>
      <w:pPr>
        <w:pStyle w:val="FirstParagraph"/>
      </w:pPr>
      <w:r>
        <w:t xml:space="preserve">```html</w:t>
      </w:r>
    </w:p>
    <w:bookmarkStart w:id="26" w:name="X8ae473275218051e1891fcd8c9e06208f29e783"/>
    <w:p>
      <w:pPr>
        <w:pStyle w:val="Heading1"/>
      </w:pPr>
      <w:r>
        <w:t xml:space="preserve">Lab Report: Strategic Business Consultancy Framework for Market Entry in Japan, Kyoto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Prepared By:</w:t>
      </w:r>
      <w:r>
        <w:t xml:space="preserve"> </w:t>
      </w:r>
      <w:r>
        <w:t xml:space="preserve">Senior Strategy Analyst</w:t>
      </w:r>
      <w:r>
        <w:br/>
      </w:r>
      <w:r>
        <w:rPr>
          <w:bCs/>
          <w:b/>
        </w:rPr>
        <w:t xml:space="preserve">Subject:</w:t>
      </w:r>
    </w:p>
    <w:bookmarkStart w:id="20" w:name="abstract"/>
    <w:p>
      <w:pPr>
        <w:pStyle w:val="Heading3"/>
      </w:pPr>
      <w:r>
        <w:t xml:space="preserve">Abstract</w:t>
      </w:r>
    </w:p>
    <w:p>
      <w:pPr>
        <w:pStyle w:val="FirstParagraph"/>
      </w:pPr>
      <w:r>
        <w:t xml:space="preserve">This Lab Report details the comprehensive research and strategic planning undertaken by a designated</w:t>
      </w:r>
    </w:p>
    <w:p>
      <w:pPr>
        <w:pStyle w:val="BodyText"/>
      </w:pPr>
      <w:r>
        <w:t xml:space="preserve">Business Consultant to facilitate successful market entry and operational expansion in</w:t>
      </w:r>
    </w:p>
    <w:p>
      <w:pPr>
        <w:pStyle w:val="BodyText"/>
      </w:pPr>
      <w:r>
        <w:t xml:space="preserve">J ap an K yoto. The report analyzes the unique socio-cultural dynamics, regulatory environments, and competitive landscapes specific to Kyoto Prefecture. It serves as a foundational document for stakeholders aiming to leverage traditional heritage while embracing modern economic opportunities within this historic Japanese city.</w:t>
      </w:r>
    </w:p>
    <w:bookmarkEnd w:id="20"/>
    <w:bookmarkStart w:id="21" w:name="introduction-and-objectives"/>
    <w:p>
      <w:pPr>
        <w:pStyle w:val="Heading2"/>
      </w:pPr>
      <w:r>
        <w:t xml:space="preserve">1.0 Introduction and Objectives</w:t>
      </w:r>
    </w:p>
    <w:p>
      <w:pPr>
        <w:pStyle w:val="FirstParagraph"/>
      </w:pPr>
      <w:r>
        <w:t xml:space="preserve">The primary objective of this study is to establish a robust framework for a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engaging with the unique ecosystem of</w:t>
      </w:r>
    </w:p>
    <w:p>
      <w:pPr>
        <w:pStyle w:val="BodyText"/>
      </w:pPr>
      <w:r>
        <w:t xml:space="preserve">J ap an K yoto. Unlike Tokyo or Osaka, which are characterized by high-speed modernity, Kyoto represents a distinct economic model where tradition and innovation intersect. The "Lab" in this context refers to the experimental nature of testing business models within a highly regulated and culturally sensitive environment.</w:t>
      </w:r>
    </w:p>
    <w:p>
      <w:pPr>
        <w:pStyle w:val="BodyText"/>
      </w:pPr>
      <w:r>
        <w:t xml:space="preserve">Key objectives include:</w:t>
      </w:r>
    </w:p>
    <w:p>
      <w:pPr>
        <w:pStyle w:val="BodyText"/>
      </w:pPr>
      <w:r>
        <w:t xml:space="preserve">Evaluating the regulatory landscape for foreign direct investment (FDI) in Kyoto.</w:t>
      </w:r>
    </w:p>
    <w:p>
      <w:pPr>
        <w:pStyle w:val="BodyText"/>
      </w:pPr>
      <w:r>
        <w:t xml:space="preserve">Analyzing consumer behavior patterns specific to Kyoto’s demographic profile.</w:t>
      </w:r>
    </w:p>
    <w:p>
      <w:pPr>
        <w:pStyle w:val="BodyText"/>
      </w:pPr>
      <w:r>
        <w:t xml:space="preserve">Determining the role of a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in navigating *Omotenashi* (Japanese hospitality) standards.</w:t>
      </w:r>
    </w:p>
    <w:p>
      <w:pPr>
        <w:pStyle w:val="BodyText"/>
      </w:pPr>
      <w:r>
        <w:t xml:space="preserve">2.0 Methodology and Cultural Context</w:t>
      </w:r>
    </w:p>
    <w:p>
      <w:pPr>
        <w:pStyle w:val="BodyText"/>
      </w:pPr>
      <w:r>
        <w:t xml:space="preserve">To ensure accuracy, this report employs a mixed-methods approach, combining quantitative economic data from the Kyoto Prefectural Government with qualitative insights derived from local market interviews. A critical component of this methodology is understanding that in</w:t>
      </w:r>
    </w:p>
    <w:p>
      <w:pPr>
        <w:pStyle w:val="BodyText"/>
      </w:pPr>
      <w:r>
        <w:t xml:space="preserve">J ap an K yoto, business relationships are built on trust (*Shinrai*) rather than mere transactional efficiency.</w:t>
      </w:r>
    </w:p>
    <w:p>
      <w:pPr>
        <w:pStyle w:val="BodyText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here extends beyond standard advisory services; it requires cultural translation. The consultant must interpret local nuances such as the importance of seasonal awareness in marketing and the preference for long-term relationship building over short-term gains. This section highlights that a failure to adhere to these cultural protocols often leads to project stagnation, making the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’s role pivotal in bridging global business practices with local expectations.</w:t>
      </w:r>
    </w:p>
    <w:bookmarkEnd w:id="21"/>
    <w:bookmarkStart w:id="22" w:name="market-analysis-the-kyoto-specificity"/>
    <w:p>
      <w:pPr>
        <w:pStyle w:val="Heading2"/>
      </w:pPr>
      <w:r>
        <w:t xml:space="preserve">3.0 Market Analysis: The Kyoto Specificity</w:t>
      </w:r>
    </w:p>
    <w:p>
      <w:pPr>
        <w:pStyle w:val="FirstParagraph"/>
      </w:pPr>
      <w:r>
        <w:t xml:space="preserve">Kyoto’s economy is distinctively structured around tourism, traditional crafts, and high-tech manufacturing. As a</w:t>
      </w:r>
    </w:p>
    <w:p>
      <w:pPr>
        <w:pStyle w:val="BodyText"/>
      </w:pPr>
      <w:r>
        <w:t xml:space="preserve">Business Consultant assessing opportunities in</w:t>
      </w:r>
    </w:p>
    <w:p>
      <w:pPr>
        <w:pStyle w:val="BodyText"/>
      </w:pPr>
      <w:r>
        <w:t xml:space="preserve">J ap an K yoto, one must consider the following pillars:</w:t>
      </w:r>
    </w:p>
    <w:p>
      <w:pPr>
        <w:numPr>
          <w:ilvl w:val="0"/>
          <w:numId w:val="1001"/>
        </w:numPr>
        <w:pStyle w:val="Compact"/>
      </w:pPr>
      <w:r>
        <w:t xml:space="preserve">Tourism and Hospitality: With millions of international visitors annually, the hospitality sector offers significant opportunities. However, regulations on minshuku (traditional guesthouses) are strict.</w:t>
      </w:r>
    </w:p>
    <w:p>
      <w:pPr>
        <w:numPr>
          <w:ilvl w:val="0"/>
          <w:numId w:val="1001"/>
        </w:numPr>
        <w:pStyle w:val="Compact"/>
      </w:pPr>
      <w:r>
        <w:t xml:space="preserve">Traditional Crafts (Kyoyu): The preservation of artisanal skills is a priority for local government. Businesses integrating traditional aesthetics or materials often receive subsidies and support.</w:t>
      </w:r>
    </w:p>
    <w:p>
      <w:pPr>
        <w:numPr>
          <w:ilvl w:val="0"/>
          <w:numId w:val="1001"/>
        </w:numPr>
        <w:pStyle w:val="Compact"/>
      </w:pPr>
      <w:r>
        <w:t xml:space="preserve">Tech Innovation: Areas like the Kyoto University Research Park demonstrate a growing tech hub, attracting startups in AI and robotics.</w:t>
      </w:r>
    </w:p>
    <w:bookmarkEnd w:id="22"/>
    <w:bookmarkStart w:id="23" w:name="regulatory-and-legal-environment"/>
    <w:p>
      <w:pPr>
        <w:pStyle w:val="Heading2"/>
      </w:pPr>
      <w:r>
        <w:t xml:space="preserve">4.0 Regulatory and Legal Environment</w:t>
      </w:r>
    </w:p>
    <w:p>
      <w:pPr>
        <w:pStyle w:val="FirstParagraph"/>
      </w:pPr>
      <w:r>
        <w:t xml:space="preserve">Navigating the legal framework in</w:t>
      </w:r>
      <w:r>
        <w:t xml:space="preserve"> </w:t>
      </w:r>
      <w:r>
        <w:rPr>
          <w:bCs/>
          <w:b/>
        </w:rPr>
        <w:t xml:space="preserve">J ap an K yoto</w:t>
      </w:r>
      <w:r>
        <w:t xml:space="preserve"> </w:t>
      </w:r>
      <w:r>
        <w:t xml:space="preserve">requires precise attention. The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must advise clients on:</w:t>
      </w:r>
    </w:p>
    <w:p>
      <w:pPr>
        <w:numPr>
          <w:ilvl w:val="0"/>
          <w:numId w:val="1002"/>
        </w:numPr>
        <w:pStyle w:val="Compact"/>
      </w:pPr>
      <w:r>
        <w:t xml:space="preserve">Zoning Laws: Kyoto has strict building codes to preserve the city’s historic skyline.</w:t>
      </w:r>
    </w:p>
    <w:p>
      <w:pPr>
        <w:numPr>
          <w:ilvl w:val="0"/>
          <w:numId w:val="1002"/>
        </w:numPr>
        <w:pStyle w:val="Compact"/>
      </w:pPr>
      <w:r>
        <w:t xml:space="preserve">Labor Practices: Japan’s labor laws are evolving, with a focus on work-style reforms.</w:t>
      </w:r>
    </w:p>
    <w:p>
      <w:pPr>
        <w:numPr>
          <w:ilvl w:val="0"/>
          <w:numId w:val="1003"/>
        </w:numPr>
        <w:pStyle w:val="Compact"/>
      </w:pPr>
      <w:r>
        <w:t xml:space="preserve">Create a Local Joint Venture Partnering with local entities enhances credibility and provides immediate access to established networks.</w:t>
      </w:r>
    </w:p>
    <w:p>
      <w:pPr>
        <w:numPr>
          <w:ilvl w:val="0"/>
          <w:numId w:val="1003"/>
        </w:numPr>
        <w:pStyle w:val="Compact"/>
      </w:pPr>
      <w:r>
        <w:t xml:space="preserve">Hire Bilingual Liaisons: Staff who understand both the corporate language and local dialects/cultural nuances.</w:t>
      </w:r>
    </w:p>
    <w:p>
      <w:pPr>
        <w:numPr>
          <w:ilvl w:val="0"/>
          <w:numId w:val="1003"/>
        </w:numPr>
        <w:pStyle w:val="Compact"/>
      </w:pPr>
      <w:r>
        <w:t xml:space="preserve">Leverage Digital Marketing: While traditional methods work, digital penetration in Kyoto is high among younger demographics.</w:t>
      </w:r>
    </w:p>
    <w:bookmarkEnd w:id="23"/>
    <w:bookmarkStart w:id="24" w:name="risk-assessment"/>
    <w:p>
      <w:pPr>
        <w:pStyle w:val="Heading2"/>
      </w:pPr>
      <w:r>
        <w:t xml:space="preserve">6.0 Risk Assessment</w:t>
      </w:r>
    </w:p>
    <w:p>
      <w:pPr>
        <w:pStyle w:val="FirstParagraph"/>
      </w:pPr>
      <w:r>
        <w:t xml:space="preserve">Every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must present a risk matrix. For</w:t>
      </w:r>
    </w:p>
    <w:p>
      <w:pPr>
        <w:pStyle w:val="BodyText"/>
      </w:pPr>
      <w:r>
        <w:t xml:space="preserve">J ap an K yoto, key risks include:</w:t>
      </w:r>
    </w:p>
    <w:p>
      <w:pPr>
        <w:pStyle w:val="BodyText"/>
      </w:pPr>
      <w:r>
        <w:t xml:space="preserve">Risk Category</w:t>
      </w:r>
    </w:p>
    <w:p>
      <w:pPr>
        <w:pStyle w:val="BodyText"/>
      </w:pPr>
      <w:r>
        <w:t xml:space="preserve">Description</w:t>
      </w:r>
    </w:p>
    <w:p>
      <w:pPr>
        <w:pStyle w:val="BodyText"/>
      </w:pPr>
      <w:r>
        <w:t xml:space="preserve">Mitigation Strategy by Consultant</w:t>
      </w:r>
      <w:r>
        <w:t xml:space="preserve"> </w:t>
      </w:r>
    </w:p>
    <w:p>
      <w:pPr>
        <w:pStyle w:val="BodyText"/>
      </w:pPr>
      <w:r>
        <w:t xml:space="preserve">td&gt;Cultural Misalignment</w:t>
      </w:r>
    </w:p>
    <w:p>
      <w:pPr>
        <w:pStyle w:val="BodyText"/>
      </w:pPr>
      <w:r>
        <w:t xml:space="preserve">Failing to respect local customs.</w:t>
      </w:r>
    </w:p>
    <w:p>
      <w:pPr>
        <w:pStyle w:val="BodyText"/>
      </w:pPr>
      <w:r>
        <w:t xml:space="preserve">Comprehensive cultural training and on-site immersion programs.</w:t>
      </w:r>
    </w:p>
    <w:p>
      <w:pPr>
        <w:pStyle w:val="BodyText"/>
      </w:pPr>
      <w:r>
        <w:t xml:space="preserve">td&gt;Labor Shortage</w:t>
      </w:r>
      <w:r>
        <w:br/>
      </w:r>
      <w:r>
        <w:t xml:space="preserve">&gt; Aging population leads to workforce shortages.</w:t>
      </w:r>
      <w:r>
        <w:br/>
      </w:r>
    </w:p>
    <w:p>
      <w:pPr>
        <w:pStyle w:val="BodyText"/>
      </w:pPr>
      <w:r>
        <w:t xml:space="preserve">Automation integration and retention strategies.</w:t>
      </w:r>
      <w:r>
        <w:br/>
      </w:r>
      <w:r>
        <w:t xml:space="preserve">Regulatory Delays</w:t>
      </w:r>
      <w:r>
        <w:br/>
      </w:r>
      <w:r>
        <w:t xml:space="preserve">Bureaucratic processes can be slow.</w:t>
      </w:r>
    </w:p>
    <w:p>
      <w:pPr>
        <w:pStyle w:val="BodyText"/>
      </w:pPr>
      <w:r>
        <w:t xml:space="preserve">Early engagement with legal experts and local chambers of commerce.</w:t>
      </w:r>
    </w:p>
    <w:bookmarkEnd w:id="24"/>
    <w:bookmarkStart w:id="25" w:name="conclusion"/>
    <w:p>
      <w:pPr>
        <w:pStyle w:val="Heading2"/>
      </w:pPr>
      <w:r>
        <w:t xml:space="preserve">7.0 Conclusion</w:t>
      </w:r>
    </w:p>
    <w:p>
      <w:pPr>
        <w:pStyle w:val="FirstParagraph"/>
      </w:pPr>
      <w:r>
        <w:t xml:space="preserve">In conclusion, the integration of a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into the strategic planning for operations in</w:t>
      </w:r>
    </w:p>
    <w:p>
      <w:pPr>
        <w:pStyle w:val="BodyText"/>
      </w:pPr>
      <w:r>
        <w:t xml:space="preserve">J ap an K yoto is not merely advisable but essential. The city offers a unique blend of economic opportunity and cultural depth that demands a specialized approach. By adhering to the frameworks outlined in this lab report, stakeholders can navigate the complexities of the Kyoto market effectively.</w:t>
      </w:r>
    </w:p>
    <w:p>
      <w:pPr>
        <w:pStyle w:val="BodyText"/>
      </w:pPr>
      <w:r>
        <w:t xml:space="preserve">The success of any venture in this region depends on respecting the heritage while innovating for the future—a balance that only a skilled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can help maintain. This document serves as a blueprint for sustainable growth and cultural integration in one of Japan’s most significant economic and historical hubs.</w:t>
      </w:r>
    </w:p>
    <w:p>
      <w:pPr>
        <w:pStyle w:val="BodyText"/>
      </w:pPr>
      <w:r>
        <w:t xml:space="preserve">```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Business Consultant Strategy for Japan Kyoto</dc:title>
  <dc:creator/>
  <dc:language>en</dc:language>
  <cp:keywords/>
  <dcterms:created xsi:type="dcterms:W3CDTF">2026-07-30T11:43:40Z</dcterms:created>
  <dcterms:modified xsi:type="dcterms:W3CDTF">2026-07-30T11:43:40Z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