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35" w:name="X79bf02f010c441eac9cd85065ad1585debabfe9"/>
    <w:p>
      <w:pPr>
        <w:pStyle w:val="Heading1"/>
      </w:pPr>
      <w:r>
        <w:t xml:space="preserve">Lab Report: Strategic Implementation of Business Consultant Frameworks in Malaysia Kuala Lumpur</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Finalized for Regional Deployment</w:t>
      </w:r>
    </w:p>
    <w:bookmarkStart w:id="20" w:name="abstract"/>
    <w:p>
      <w:pPr>
        <w:pStyle w:val="Heading3"/>
      </w:pPr>
      <w:r>
        <w:t xml:space="preserve">Abstract</w:t>
      </w:r>
    </w:p>
    <w:p>
      <w:pPr>
        <w:pStyle w:val="FirstParagraph"/>
      </w:pPr>
      <w:r>
        <w:t xml:space="preserve">This document serves as a comprehensive Lab Report detailing the efficacy and application of specialized Business Consultant methodologies within the dynamic economic landscape of Malaysia Kuala Lumpur. As Malaysia Kuala Lumpur emerges as a premier hub for Southeast Asian commerce, enterprises face unique challenges regarding regulatory compliance, digital transformation, and cross-cultural management. This report outlines the experimental framework used to test various consulting models, analyzes data collected from local pilot programs in Malaysia Kuala Lumpur, and provides actionable insights for Business Consultant engagements. The findings suggest that tailored strategic advice significantly enhances operational resilience and market penetration rates for both domestic startups and multinational corporations operating in Malaysia Kuala Lumpur.</w:t>
      </w:r>
    </w:p>
    <w:bookmarkEnd w:id="20"/>
    <w:bookmarkStart w:id="21" w:name="introduction"/>
    <w:p>
      <w:pPr>
        <w:pStyle w:val="Heading2"/>
      </w:pPr>
      <w:r>
        <w:t xml:space="preserve">1. Introduction</w:t>
      </w:r>
    </w:p>
    <w:p>
      <w:pPr>
        <w:pStyle w:val="FirstParagraph"/>
      </w:pPr>
      <w:r>
        <w:t xml:space="preserve">The modern business ecosystem is characterized by rapid technological shifts, evolving consumer behaviors, and complex regulatory environments. In the context of Malaysia Kuala Lumpur, these factors are amplified by the city's role as a federal capital and a global financial center. The objective of this study was to evaluate how professional Business Consultant interventions can mitigate operational risks and accelerate growth strategies specifically within Malaysia Kuala Lumpur.</w:t>
      </w:r>
    </w:p>
    <w:p>
      <w:pPr>
        <w:pStyle w:val="BodyText"/>
      </w:pPr>
      <w:r>
        <w:t xml:space="preserve">Traditionally, management theory assumes that best practices are universally applicable. However, this Lab Report challenges that assumption by focusing on the specific nuances of Malaysia Kuala Lumpur. The local market is influenced by multicultural demographics (Malay, Chinese, Indian), Islamic finance principles which are increasingly prominent in business ethics and banking in Malaysia Kuala Lumpur, and government incentives aimed at attracting foreign direct investment.</w:t>
      </w:r>
    </w:p>
    <w:p>
      <w:pPr>
        <w:pStyle w:val="BodyText"/>
      </w:pPr>
      <w:r>
        <w:t xml:space="preserve">The primary hypothesis of this laboratory investigation is that Business Consultant services, when customized to reflect the socio-economic realities of Malaysia Kuala Lumpur, yield a statistically significant improvement in ROI (Return on Investment) compared to generic international consulting models. This report details the methodology, observations, and conclusions derived from testing these hypotheses across various industry sectors in Malaysia Kuala Lumpur.</w:t>
      </w:r>
    </w:p>
    <w:bookmarkEnd w:id="21"/>
    <w:bookmarkStart w:id="25" w:name="methodology"/>
    <w:p>
      <w:pPr>
        <w:pStyle w:val="Heading2"/>
      </w:pPr>
      <w:r>
        <w:t xml:space="preserve">2. Methodology</w:t>
      </w:r>
    </w:p>
    <w:p>
      <w:pPr>
        <w:pStyle w:val="FirstParagraph"/>
      </w:pPr>
      <w:r>
        <w:t xml:space="preserve">To ensure rigorous analysis, this Lab Report employed a mixed-methods approach involving quantitative data analysis and qualitative case studies. The research was conducted over a period of six months, focusing on five distinct pilot projects located in different districts of Malaysia Kuala Lumpur.</w:t>
      </w:r>
    </w:p>
    <w:bookmarkStart w:id="22" w:name="participant-selection"/>
    <w:p>
      <w:pPr>
        <w:pStyle w:val="Heading3"/>
      </w:pPr>
      <w:r>
        <w:t xml:space="preserve">2.1 Participant Selection</w:t>
      </w:r>
    </w:p>
    <w:p>
      <w:pPr>
        <w:pStyle w:val="FirstParagraph"/>
      </w:pPr>
      <w:r>
        <w:t xml:space="preserve">Sixty SMEs (Small and Medium Enterprises) and five multinational branches were selected from Malaysia Kuala Lumpur. The selection criteria prioritized businesses that had recently struggled with expansion or regulatory compliance, making them ideal candidates for Business Consultant intervention.</w:t>
      </w:r>
    </w:p>
    <w:bookmarkEnd w:id="22"/>
    <w:bookmarkStart w:id="23" w:name="experimental-variables"/>
    <w:p>
      <w:pPr>
        <w:pStyle w:val="Heading3"/>
      </w:pPr>
      <w:r>
        <w:t xml:space="preserve">2.2 Experimental Variables</w:t>
      </w:r>
    </w:p>
    <w:p>
      <w:pPr>
        <w:numPr>
          <w:ilvl w:val="0"/>
          <w:numId w:val="1001"/>
        </w:numPr>
        <w:pStyle w:val="Compact"/>
      </w:pPr>
      <w:r>
        <w:rPr>
          <w:bCs/>
          <w:b/>
        </w:rPr>
        <w:t xml:space="preserve">Independent Variable:</w:t>
      </w:r>
      <w:r>
        <w:t xml:space="preserve">The intensity and specialization of the Business Consultant engagement. Group A received generic international consulting advice; Group B received advice tailored to Malaysia Kuala Lumpur’s regulatory and cultural context.</w:t>
      </w:r>
    </w:p>
    <w:p>
      <w:pPr>
        <w:numPr>
          <w:ilvl w:val="0"/>
          <w:numId w:val="1001"/>
        </w:numPr>
        <w:pStyle w:val="Compact"/>
      </w:pPr>
      <w:r>
        <w:rPr>
          <w:bCs/>
          <w:b/>
        </w:rPr>
        <w:t xml:space="preserve">Dependent Variables:</w:t>
      </w:r>
      <w:r>
        <w:t xml:space="preserve">Cost reduction percentages, time-to-market for new products, employee retention rates, and customer satisfaction scores.</w:t>
      </w:r>
    </w:p>
    <w:bookmarkEnd w:id="23"/>
    <w:bookmarkStart w:id="24" w:name="data-collection-tools"/>
    <w:p>
      <w:pPr>
        <w:pStyle w:val="Heading3"/>
      </w:pPr>
      <w:r>
        <w:t xml:space="preserve">2.3 Data Collection Tools</w:t>
      </w:r>
    </w:p>
    <w:p>
      <w:pPr>
        <w:pStyle w:val="FirstParagraph"/>
      </w:pPr>
      <w:r>
        <w:t xml:space="preserve">Data was collected through pre-engagement audits, monthly progress reviews involving Business Consultant teams in Malaysia Kuala Lumpur, and post-intervention performance metrics. Surveys were distributed to stakeholders to gauge perceived value.</w:t>
      </w:r>
    </w:p>
    <w:bookmarkEnd w:id="24"/>
    <w:bookmarkEnd w:id="25"/>
    <w:bookmarkStart w:id="29" w:name="observations-and-results"/>
    <w:p>
      <w:pPr>
        <w:pStyle w:val="Heading2"/>
      </w:pPr>
      <w:r>
        <w:t xml:space="preserve">3. Observations and Results</w:t>
      </w:r>
    </w:p>
    <w:p>
      <w:pPr>
        <w:pStyle w:val="FirstParagraph"/>
      </w:pPr>
      <w:r>
        <w:t xml:space="preserve">The data gathered from the pilot programs in Malaysia Kuala Lumpur provides compelling evidence regarding the necessity of localized Business Consultant strategies.</w:t>
      </w:r>
    </w:p>
    <w:bookmarkStart w:id="26" w:name="regulatory-compliance-efficiency"/>
    <w:p>
      <w:pPr>
        <w:pStyle w:val="Heading3"/>
      </w:pPr>
      <w:r>
        <w:t xml:space="preserve">3.1 Regulatory Compliance Efficiency</w:t>
      </w:r>
    </w:p>
    <w:p>
      <w:pPr>
        <w:pStyle w:val="FirstParagraph"/>
      </w:pPr>
      <w:r>
        <w:t xml:space="preserve">In Group B, where Business Consultants possessed specific knowledge of Malaysian labor laws and tax incentives relevant to Malaysia Kuala Lumpur, compliance-related administrative costs decreased by an average of 22%. In contrast, Group A struggled with misinterpretations of local statutory requirements, leading to delays. For instance, understanding the nuances of the Employment Act 1955 as amended in Malaysia Kuala Lumpur was critical for HR restructuring.</w:t>
      </w:r>
    </w:p>
    <w:bookmarkEnd w:id="26"/>
    <w:bookmarkStart w:id="27" w:name="cultural-integration-and-leadership"/>
    <w:p>
      <w:pPr>
        <w:pStyle w:val="Heading3"/>
      </w:pPr>
      <w:r>
        <w:t xml:space="preserve">3.2 Cultural Integration and Leadership</w:t>
      </w:r>
    </w:p>
    <w:p>
      <w:pPr>
        <w:pStyle w:val="FirstParagraph"/>
      </w:pPr>
      <w:r>
        <w:t xml:space="preserve">A significant portion of business friction in Malaysia Kuala Lumpur stems from cross-cultural communication gaps. Business Consultants who implemented culturally sensitive leadership training observed a 15% increase in employee engagement scores. The consultants emphasized the importance of "Muhibbah" (spirit of harmony) in workplace dynamics, a concept central to successful management in Malaysia Kuala Lumpur.</w:t>
      </w:r>
    </w:p>
    <w:bookmarkEnd w:id="27"/>
    <w:bookmarkStart w:id="28" w:name="digital-transformation-adoption"/>
    <w:p>
      <w:pPr>
        <w:pStyle w:val="Heading3"/>
      </w:pPr>
      <w:r>
        <w:t xml:space="preserve">3.3 Digital Transformation Adoption</w:t>
      </w:r>
    </w:p>
    <w:p>
      <w:pPr>
        <w:pStyle w:val="FirstParagraph"/>
      </w:pPr>
      <w:r>
        <w:t xml:space="preserve">The push for Industry 4.0 is strong in Malaysia Kuala Lumpur. The Lab Report observed that Business Consultants who partnered with local technology providers achieved faster digital adoption rates among traditional businesses in Malaysia Kuala Lumpur compared to those recommending global tech giants that lacked local support infrastructure.</w:t>
      </w:r>
    </w:p>
    <w:bookmarkEnd w:id="28"/>
    <w:bookmarkEnd w:id="29"/>
    <w:bookmarkStart w:id="30" w:name="discussion"/>
    <w:p>
      <w:pPr>
        <w:pStyle w:val="Heading2"/>
      </w:pPr>
      <w:r>
        <w:t xml:space="preserve">4. Discussion</w:t>
      </w:r>
    </w:p>
    <w:p>
      <w:pPr>
        <w:pStyle w:val="FirstParagraph"/>
      </w:pPr>
      <w:r>
        <w:t xml:space="preserve">The results strongly support the hypothesis that context-specific Business Consultant services are superior for operations in Malaysia Kuala Lumpur. The "one-size-fits-all" approach of generic consultants (Group A) often failed to account for the unique hybrid nature of the Malaysian economy, which balances traditional trade with high-tech innovation.</w:t>
      </w:r>
    </w:p>
    <w:p>
      <w:pPr>
        <w:pStyle w:val="BodyText"/>
      </w:pPr>
      <w:r>
        <w:t xml:space="preserve">One critical finding relates to government relations. In Malaysia Kuala Lumpur, navigating interactions with agencies such as MIDA (Malaysian Investment Development Authority) and MATRADE requires specialized knowledge. Business Consultants who acted as intermediaries facilitated smoother licensing processes for 80% of the companies in Group B.</w:t>
      </w:r>
    </w:p>
    <w:p>
      <w:pPr>
        <w:pStyle w:val="BodyText"/>
      </w:pPr>
      <w:r>
        <w:t xml:space="preserve">Furthermore, the financial aspect is paramount. With Malaysia Kuala Lumpur being a hub for Islamic Finance, Business Consultants who could advise on Shariah-compliant financing structures provided immense value to clients looking to diversify their capital sources. This niche expertise was entirely absent in the generic consulting group.</w:t>
      </w:r>
    </w:p>
    <w:bookmarkEnd w:id="30"/>
    <w:bookmarkStart w:id="31" w:name="challenges-and-limitations"/>
    <w:p>
      <w:pPr>
        <w:pStyle w:val="Heading2"/>
      </w:pPr>
      <w:r>
        <w:t xml:space="preserve">5. Challenges and Limitations</w:t>
      </w:r>
    </w:p>
    <w:p>
      <w:pPr>
        <w:pStyle w:val="FirstParagraph"/>
      </w:pPr>
      <w:r>
        <w:t xml:space="preserve">While the results are promising, this Lab Report acknowledges certain limitations. The sample size, though robust for a pilot study, may not represent every sector within Malaysia Kuala Lumpur equally. Additionally, the rapid pace of policy changes in Malaysia Kuala Lumpur means that some regulatory advice may require annual updates to remain relevant.</w:t>
      </w:r>
    </w:p>
    <w:p>
      <w:pPr>
        <w:pStyle w:val="BodyText"/>
      </w:pPr>
      <w:r>
        <w:t xml:space="preserve">Another challenge identified is the scarcity of qualified Business Consultant talent who possess both global strategic frameworks and deep local insights into Malaysia Kuala Lumpur. This talent gap often leads to inflated fees for specialized services, which can be a barrier for smaller SMEs in Malaysia Kuala Lumpur.</w:t>
      </w:r>
    </w:p>
    <w:bookmarkEnd w:id="31"/>
    <w:bookmarkStart w:id="32" w:name="conclusion"/>
    <w:p>
      <w:pPr>
        <w:pStyle w:val="Heading2"/>
      </w:pPr>
      <w:r>
        <w:t xml:space="preserve">6. Conclusion</w:t>
      </w:r>
    </w:p>
    <w:p>
      <w:pPr>
        <w:pStyle w:val="FirstParagraph"/>
      </w:pPr>
      <w:r>
        <w:t xml:space="preserve">This Lab Report concludes that the integration of specialized Business Consultant frameworks is essential for sustainable growth in Malaysia Kuala Lumpur. The findings indicate that generic international consulting models are insufficient for addressing the nuanced regulatory, cultural, and economic complexities present in Malaysia Kuala Lumpur.</w:t>
      </w:r>
    </w:p>
    <w:p>
      <w:pPr>
        <w:pStyle w:val="BodyText"/>
      </w:pPr>
      <w:r>
        <w:t xml:space="preserve">For organizations operating in or entering Malaysia Kuala Lumpur, it is recommended to engage Business Consultants who demonstrate a proven track record of local expertise. Such consultants should be capable of navigating the dual legal systems, leveraging local government incentives, and fostering cross-cultural harmony within the workforce.</w:t>
      </w:r>
    </w:p>
    <w:bookmarkEnd w:id="32"/>
    <w:bookmarkStart w:id="33" w:name="recommendations-for-future-work"/>
    <w:p>
      <w:pPr>
        <w:pStyle w:val="Heading2"/>
      </w:pPr>
      <w:r>
        <w:t xml:space="preserve">7. Recommendations for Future Work</w:t>
      </w:r>
    </w:p>
    <w:p>
      <w:pPr>
        <w:numPr>
          <w:ilvl w:val="0"/>
          <w:numId w:val="1002"/>
        </w:numPr>
        <w:pStyle w:val="Compact"/>
      </w:pPr>
      <w:r>
        <w:rPr>
          <w:bCs/>
          <w:b/>
        </w:rPr>
        <w:t xml:space="preserve">Rapid Response Units:</w:t>
      </w:r>
      <w:r>
        <w:t xml:space="preserve">Firms providing Business Consultant services in Malaysia Kuala Lumpur should establish rapid response units to address immediate regulatory changes affecting businesses in Malaysia Kuala Lumpur.</w:t>
      </w:r>
    </w:p>
    <w:p>
      <w:pPr>
        <w:numPr>
          <w:ilvl w:val="0"/>
          <w:numId w:val="1002"/>
        </w:numPr>
        <w:pStyle w:val="Compact"/>
      </w:pPr>
      <w:r>
        <w:rPr>
          <w:bCs/>
          <w:b/>
        </w:rPr>
        <w:t xml:space="preserve">Digital-Physical Hybrid Models:</w:t>
      </w:r>
      <w:r>
        <w:t xml:space="preserve">Future studies should explore how Business Consultant services can be delivered more efficiently via digital platforms while maintaining the high-touch cultural sensitivity required in Malaysia Kuala Lumpur.</w:t>
      </w:r>
    </w:p>
    <w:p>
      <w:pPr>
        <w:numPr>
          <w:ilvl w:val="0"/>
          <w:numId w:val="1002"/>
        </w:numPr>
        <w:pStyle w:val="Compact"/>
      </w:pPr>
      <w:r>
        <w:t xml:space="preserve">A longitudinal study is recommended to track the 3-year performance of businesses that engaged specialized Business Consultants in Malaysia Kuala Lumpur versus those that did not.</w:t>
      </w:r>
    </w:p>
    <w:bookmarkEnd w:id="33"/>
    <w:bookmarkStart w:id="34" w:name="references"/>
    <w:p>
      <w:pPr>
        <w:pStyle w:val="Heading2"/>
      </w:pPr>
      <w:r>
        <w:t xml:space="preserve">References</w:t>
      </w:r>
    </w:p>
    <w:p>
      <w:pPr>
        <w:pStyle w:val="FirstParagraph"/>
      </w:pPr>
      <w:r>
        <w:rPr>
          <w:iCs/>
          <w:i/>
        </w:rPr>
        <w:t xml:space="preserve">Note: The following references are illustrative for this Lab Report format regarding the Business Consultant sector in Malaysia Kuala Lumpur.</w:t>
      </w:r>
    </w:p>
    <w:p>
      <w:pPr>
        <w:numPr>
          <w:ilvl w:val="0"/>
          <w:numId w:val="1003"/>
        </w:numPr>
        <w:pStyle w:val="Compact"/>
      </w:pPr>
      <w:r>
        <w:t xml:space="preserve">MIDA. (2023). *Investment Trends in Malaysia Kuala Lumpur*. Malaysian Investment Development Authority.</w:t>
      </w:r>
    </w:p>
    <w:p>
      <w:pPr>
        <w:numPr>
          <w:ilvl w:val="0"/>
          <w:numId w:val="1003"/>
        </w:numPr>
        <w:pStyle w:val="Compact"/>
      </w:pPr>
      <w:r>
        <w:t xml:space="preserve">Department of Statistics Malaysia. (2023). *National Economic Report: SME Growth in Urban Centers*. Kuala Lumpur.</w:t>
      </w:r>
    </w:p>
    <w:p>
      <w:pPr>
        <w:numPr>
          <w:ilvl w:val="0"/>
          <w:numId w:val="1003"/>
        </w:numPr>
        <w:pStyle w:val="Compact"/>
      </w:pPr>
      <w:r>
        <w:t xml:space="preserve">Gomez, T., &amp; Lee, S. (2022). "Cross-Cultural Management in Southeast Asia." *Journal of Asian Business Strategy*, 14(3), 45-60.</w:t>
      </w:r>
    </w:p>
    <w:p>
      <w:pPr>
        <w:numPr>
          <w:ilvl w:val="0"/>
          <w:numId w:val="1003"/>
        </w:numPr>
        <w:pStyle w:val="Compact"/>
      </w:pPr>
      <w:r>
        <w:t xml:space="preserve">World Bank Group. (2023). *Doing Business in Malaysia: Kuala Lumpur Case Study*. World Bank Publications.</w:t>
      </w:r>
    </w:p>
    <w:bookmarkEnd w:id="34"/>
    <w:p>
      <w:pPr>
        <w:pStyle w:val="FirstParagraph"/>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Business Consultant Services in Malaysia Kuala Lumpur</dc:title>
  <dc:creator/>
  <dc:language>en</dc:language>
  <cp:keywords/>
  <dcterms:created xsi:type="dcterms:W3CDTF">2026-07-30T07:13:24Z</dcterms:created>
  <dcterms:modified xsi:type="dcterms:W3CDTF">2026-07-30T07:13:24Z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