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Business</w:t>
      </w:r>
      <w:r>
        <w:t xml:space="preserve"> </w:t>
      </w:r>
      <w:r>
        <w:t xml:space="preserve">Consultancy</w:t>
      </w:r>
      <w:r>
        <w:t xml:space="preserve"> </w:t>
      </w:r>
      <w:r>
        <w:t xml:space="preserve">Framework</w:t>
      </w:r>
      <w:r>
        <w:t xml:space="preserve"> </w:t>
      </w:r>
      <w:r>
        <w:t xml:space="preserve">for</w:t>
      </w:r>
      <w:r>
        <w:t xml:space="preserve"> </w:t>
      </w:r>
      <w:r>
        <w:t xml:space="preserve">Casablanca,</w:t>
      </w:r>
      <w:r>
        <w:t xml:space="preserve"> </w:t>
      </w:r>
      <w:r>
        <w:t xml:space="preserve">Morocco</w:t>
      </w:r>
    </w:p>
    <w:bookmarkStart w:id="30" w:name="X801410720cc6bc564857d09a73f5c47d54cfc9f"/>
    <w:p>
      <w:pPr>
        <w:pStyle w:val="Heading1"/>
      </w:pPr>
      <w:r>
        <w:t xml:space="preserve">Lab Report: Strategic Business Consultancy Framework for Casablanca, Morocco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 in the Greater Casablanca Region</w:t>
      </w:r>
      <w:r>
        <w:br/>
      </w:r>
      <w:r>
        <w:rPr>
          <w:bCs/>
          <w:b/>
        </w:rPr>
        <w:t xml:space="preserve">From:</w:t>
      </w:r>
      <w:r>
        <w:t xml:space="preserve"> </w:t>
      </w:r>
      <w:r>
        <w:t xml:space="preserve">Lead Business Consultant Team</w:t>
      </w:r>
      <w:r>
        <w:br/>
      </w:r>
      <w:r>
        <w:rPr>
          <w:iCs/>
          <w:i/>
          <w:vertAlign w:val="subscript"/>
        </w:rPr>
        <w:t xml:space="preserve">This document serves as a comprehensive Lab Report analyzing the operational, cultural, and economic landscape of establishing a high-impact Business Consultant practice in Morocco Casablanca.</w:t>
      </w:r>
    </w:p>
    <w:bookmarkStart w:id="20" w:name="introduction-and-objectives"/>
    <w:p>
      <w:pPr>
        <w:pStyle w:val="Heading2"/>
      </w:pPr>
      <w:r>
        <w:t xml:space="preserve">1. Introduction and Objectives</w:t>
      </w:r>
    </w:p>
    <w:p>
      <w:pPr>
        <w:pStyle w:val="FirstParagraph"/>
      </w:pPr>
      <w:r>
        <w:t xml:space="preserve">The primary objective of this Lab Report is to define the methodological approach for deploying a specialized Business Consultant service within the dynamic economic hub of Morocco Casablanca. As a critical node in the North African economy, Morocco Casablanca offers unique opportunities and distinct challenges that require a tailored consultancy framework. This report outlines the experimental parameters for market entry, operational strategy, and value proposition delivery.</w:t>
      </w:r>
    </w:p>
    <w:p>
      <w:pPr>
        <w:pStyle w:val="BodyText"/>
      </w:pPr>
      <w:r>
        <w:t xml:space="preserve">The term "Business Consultant" in this context refers not merely to an advisory role but as a strategic partner capable of navigating the complex interplay between international standards and local Moroccan business practices. The focus remains strictly on Morocco Casablanca due to its status as the economic capital, housing major financial institutions, industrial parks, and a burgeoning startup ecosystem.</w:t>
      </w:r>
    </w:p>
    <w:bookmarkEnd w:id="20"/>
    <w:bookmarkStart w:id="21" w:name="methodology-the-consultancy-lab-approach"/>
    <w:p>
      <w:pPr>
        <w:pStyle w:val="Heading2"/>
      </w:pPr>
      <w:r>
        <w:t xml:space="preserve">2. Methodology: The Consultancy Lab Approach</w:t>
      </w:r>
    </w:p>
    <w:p>
      <w:pPr>
        <w:pStyle w:val="FirstParagraph"/>
      </w:pPr>
      <w:r>
        <w:t xml:space="preserve">To ensure precision in our advisory services, we have adopted a "Lab" methodology for our Business Consultant engagements. This approach treats every client engagement as a controlled experiment where hypotheses regarding business growth are tested against the reality of the Morocco Casablanca market.</w:t>
      </w:r>
    </w:p>
    <w:p>
      <w:pPr>
        <w:numPr>
          <w:ilvl w:val="0"/>
          <w:numId w:val="1001"/>
        </w:numPr>
        <w:pStyle w:val="Compact"/>
      </w:pPr>
      <w:r>
        <w:rPr>
          <w:bCs/>
          <w:b/>
        </w:rPr>
        <w:t xml:space="preserve">Data Collection:</w:t>
      </w:r>
      <w:r>
        <w:t xml:space="preserve"> </w:t>
      </w:r>
      <w:r>
        <w:t xml:space="preserve">Initial phases involve gathering quantitative data on regulatory compliance in Morocco, specifically regarding labor laws and tax incentives available in Casablanca’s free zones (such as Ain Diab).</w:t>
      </w:r>
    </w:p>
    <w:p>
      <w:pPr>
        <w:numPr>
          <w:ilvl w:val="0"/>
          <w:numId w:val="1001"/>
        </w:numPr>
        <w:pStyle w:val="Compact"/>
      </w:pPr>
      <w:r>
        <w:rPr>
          <w:bCs/>
          <w:b/>
        </w:rPr>
        <w:t xml:space="preserve">Hypothesis Testing:</w:t>
      </w:r>
      <w:r>
        <w:t xml:space="preserve"> </w:t>
      </w:r>
      <w:r>
        <w:t xml:space="preserve">We formulate strategic hypotheses based on global best practices for Business Consultant deliverables, such as operational efficiency improvements or digital transformation roadmaps.</w:t>
      </w:r>
    </w:p>
    <w:p>
      <w:pPr>
        <w:numPr>
          <w:ilvl w:val="0"/>
          <w:numId w:val="1001"/>
        </w:numPr>
        <w:pStyle w:val="Compact"/>
      </w:pPr>
      <w:r>
        <w:rPr>
          <w:bCs/>
          <w:b/>
        </w:rPr>
        <w:t xml:space="preserve">Cultural Integration:</w:t>
      </w:r>
      <w:r>
        <w:t xml:space="preserve"> </w:t>
      </w:r>
      <w:r>
        <w:t xml:space="preserve">Unlike generic global models, this lab explicitly tests variables related to Moroccan social etiquette, known as *Adab*, and the importance of personal relationships in B2B transactions within Casablanca.</w:t>
      </w:r>
    </w:p>
    <w:bookmarkEnd w:id="21"/>
    <w:bookmarkStart w:id="24" w:name="X98e457a478b253d3d4ed5f3e16d9a4e9c9d0492"/>
    <w:p>
      <w:pPr>
        <w:pStyle w:val="Heading2"/>
      </w:pPr>
      <w:r>
        <w:t xml:space="preserve">3. Market Analysis: The Context of Morocco Casablanca</w:t>
      </w:r>
    </w:p>
    <w:p>
      <w:pPr>
        <w:pStyle w:val="FirstParagraph"/>
      </w:pPr>
      <w:r>
        <w:t xml:space="preserve">A successful Business Consultant must possess deep contextual knowledge. Morocco Casablanca is characterized by a dual economy comprising traditional informal sectors and a highly modernized formal sector. For international and local enterprises alike, the gap between these two worlds presents both risk and opportunity.</w:t>
      </w:r>
    </w:p>
    <w:bookmarkStart w:id="22" w:name="economic-landscape"/>
    <w:p>
      <w:pPr>
        <w:pStyle w:val="Heading3"/>
      </w:pPr>
      <w:r>
        <w:t xml:space="preserve">3.1 Economic Landscape</w:t>
      </w:r>
    </w:p>
    <w:p>
      <w:pPr>
        <w:pStyle w:val="FirstParagraph"/>
      </w:pPr>
      <w:r>
        <w:t xml:space="preserve">Casablanca contributes significantly to Morocco’s GDP. The city hosts the Casablanca Finance City (CFC), which acts as a bridge between Europe, Africa, and the Middle East. Our Business Consultant framework leverages this geographical advantage by positioning clients within CFC’s regulatory sandbox, which allows for 100% foreign ownership and repatriation of profits—a crucial selling point for our advisory services.</w:t>
      </w:r>
    </w:p>
    <w:bookmarkEnd w:id="22"/>
    <w:bookmarkStart w:id="23" w:name="regulatory-environment"/>
    <w:p>
      <w:pPr>
        <w:pStyle w:val="Heading3"/>
      </w:pPr>
      <w:r>
        <w:t xml:space="preserve">3.2 Regulatory Environment</w:t>
      </w:r>
    </w:p>
    <w:p>
      <w:pPr>
        <w:pStyle w:val="FirstParagraph"/>
      </w:pPr>
      <w:r>
        <w:t xml:space="preserve">The legal framework in Morocco is evolving rapidly to attract foreign direct investment (FDI). However, bureaucracy remains a hurdle. A core component of our Business Consultant service is navigating these administrative layers. We analyze recent reforms such as the new Investment Charter and how they specifically impact operations in Casablanca’s industrial zones like Nouaceur and Berrechid.</w:t>
      </w:r>
    </w:p>
    <w:bookmarkEnd w:id="23"/>
    <w:bookmarkEnd w:id="24"/>
    <w:bookmarkStart w:id="25" w:name="X732f6edebe5ff1ed8a6d014ce32a876644bc088"/>
    <w:p>
      <w:pPr>
        <w:pStyle w:val="Heading2"/>
      </w:pPr>
      <w:r>
        <w:t xml:space="preserve">4. Operational Framework for Business Consultant Services</w:t>
      </w:r>
    </w:p>
    <w:p>
      <w:pPr>
        <w:pStyle w:val="FirstParagraph"/>
      </w:pPr>
      <w:r>
        <w:t xml:space="preserve">The operational model for our Business Consultant practice in Morocco Casablanca is built on three pillars: Localization, Digitalization, and Sustainability.</w:t>
      </w:r>
    </w:p>
    <w:p>
      <w:pPr>
        <w:numPr>
          <w:ilvl w:val="0"/>
          <w:numId w:val="1002"/>
        </w:numPr>
        <w:pStyle w:val="Compact"/>
      </w:pPr>
      <w:r>
        <w:rPr>
          <w:bCs/>
          <w:b/>
        </w:rPr>
        <w:t xml:space="preserve">Localization:</w:t>
      </w:r>
      <w:r>
        <w:t xml:space="preserve"> </w:t>
      </w:r>
      <w:r>
        <w:t xml:space="preserve">Language proficiency in both French and Arabic is non-negotiable. While English is increasingly common among executives in Casablanca's multinational firms, the day-to-day operations of local suppliers and government entities often require fluency in Darija (Moroccan Arabic) or formal French. Our consultants are trained to switch codes seamlessly to build trust with stakeholders across all levels of a Moroccan organization.</w:t>
      </w:r>
    </w:p>
    <w:p>
      <w:pPr>
        <w:numPr>
          <w:ilvl w:val="0"/>
          <w:numId w:val="1002"/>
        </w:numPr>
        <w:pStyle w:val="Compact"/>
      </w:pPr>
      <w:r>
        <w:rPr>
          <w:bCs/>
          <w:b/>
        </w:rPr>
        <w:t xml:space="preserve">Digitalization:</w:t>
      </w:r>
      <w:r>
        <w:t xml:space="preserve"> </w:t>
      </w:r>
      <w:r>
        <w:t xml:space="preserve">Morocco is aggressively pursuing a digital transformation agenda ("Maroc Digital 2025"). As Business Consultants, we guide clients in adopting Fintech solutions prevalent in Casablanca, such as mobile payment integrations and ERP systems adapted for local tax compliance. We treat technology adoption not just as an IT issue but as a strategic business imperative.</w:t>
      </w:r>
    </w:p>
    <w:p>
      <w:pPr>
        <w:numPr>
          <w:ilvl w:val="0"/>
          <w:numId w:val="1002"/>
        </w:numPr>
        <w:pStyle w:val="Compact"/>
      </w:pPr>
      <w:r>
        <w:rPr>
          <w:bCs/>
          <w:b/>
        </w:rPr>
        <w:t xml:space="preserve">Sustainability:</w:t>
      </w:r>
      <w:r>
        <w:t xml:space="preserve"> </w:t>
      </w:r>
      <w:r>
        <w:t xml:space="preserve">With Morocco’s strong commitment to renewable energy (exemplified by the Noor Ouarzazate Solar Complex), there is a growing demand for ESG (Environmental, Social, and Governance) compliance. Our consultancy lab tests strategies for reducing carbon footprints in Casablanca-based supply chains, appealing to European partners who require strict sustainability reporting.</w:t>
      </w:r>
    </w:p>
    <w:bookmarkEnd w:id="25"/>
    <w:bookmarkStart w:id="26" w:name="risk-assessment-and-mitigation"/>
    <w:p>
      <w:pPr>
        <w:pStyle w:val="Heading2"/>
      </w:pPr>
      <w:r>
        <w:t xml:space="preserve">5. Risk Assessment and Mitigation</w:t>
      </w:r>
    </w:p>
    <w:p>
      <w:pPr>
        <w:pStyle w:val="FirstParagraph"/>
      </w:pPr>
      <w:r>
        <w:t xml:space="preserve">In any experimental business setup, risk identification is paramount. The following risks have been identified specific to the Morocco Casablanca region:</w:t>
      </w:r>
    </w:p>
    <w:p>
      <w:pPr>
        <w:numPr>
          <w:ilvl w:val="0"/>
          <w:numId w:val="1003"/>
        </w:numPr>
        <w:pStyle w:val="Compact"/>
      </w:pPr>
      <w:r>
        <w:rPr>
          <w:bCs/>
          <w:b/>
        </w:rPr>
        <w:t xml:space="preserve">Cultural Misalignment:</w:t>
      </w:r>
      <w:r>
        <w:t xml:space="preserve"> </w:t>
      </w:r>
      <w:r>
        <w:t xml:space="preserve">Western directness in communication can sometimes be perceived as rude in Moroccan culture, which values hierarchy and indirect communication. Mitigation involves rigorous cross-cultural training for all Business Consultant staff.</w:t>
      </w:r>
    </w:p>
    <w:p>
      <w:pPr>
        <w:numPr>
          <w:ilvl w:val="0"/>
          <w:numId w:val="1003"/>
        </w:numPr>
        <w:pStyle w:val="Compact"/>
      </w:pPr>
      <w:r>
        <w:rPr>
          <w:bCs/>
          <w:b/>
        </w:rPr>
        <w:t xml:space="preserve">Data Privacy Concerns:</w:t>
      </w:r>
    </w:p>
    <w:p>
      <w:pPr>
        <w:numPr>
          <w:ilvl w:val="0"/>
          <w:numId w:val="1000"/>
        </w:numPr>
        <w:pStyle w:val="Compact"/>
      </w:pPr>
      <w:r>
        <w:t xml:space="preserve">The implementation of the Personal Data Protection Law (Law 09-08) in Morocco requires strict adherence to data sovereignty rules. Our Lab Report protocols include automated compliance checks to ensure client data handling meets Moroccan legal standards.</w:t>
      </w:r>
    </w:p>
    <w:p>
      <w:pPr>
        <w:numPr>
          <w:ilvl w:val="0"/>
          <w:numId w:val="1003"/>
        </w:numPr>
        <w:pStyle w:val="Compact"/>
      </w:pPr>
      <w:r>
        <w:rPr>
          <w:bCs/>
          <w:b/>
        </w:rPr>
        <w:t xml:space="preserve">Economic Volatility:</w:t>
      </w:r>
      <w:r>
        <w:t xml:space="preserve"> </w:t>
      </w:r>
      <w:r>
        <w:t xml:space="preserve">Fluctuations in global raw material prices can impact Casablanca’s industrial sector. We mitigate this by building flexible financial models into our consulting deliverables, allowing clients to pivot quickly in response to macroeconomic shifts.</w:t>
      </w:r>
    </w:p>
    <w:bookmarkEnd w:id="26"/>
    <w:bookmarkStart w:id="27" w:name="implementation-roadmap"/>
    <w:p>
      <w:pPr>
        <w:pStyle w:val="Heading2"/>
      </w:pPr>
      <w:r>
        <w:t xml:space="preserve">6. Implementation Roadmap</w:t>
      </w:r>
    </w:p>
    <w:p>
      <w:pPr>
        <w:pStyle w:val="FirstParagraph"/>
      </w:pPr>
      <w:r>
        <w:t xml:space="preserve">The rollout of the Business Consultant services in Morocco Casablanca follows a phased timeline:</w:t>
      </w:r>
    </w:p>
    <w:p>
      <w:pPr>
        <w:numPr>
          <w:ilvl w:val="0"/>
          <w:numId w:val="1004"/>
        </w:numPr>
        <w:pStyle w:val="Compact"/>
      </w:pPr>
      <w:r>
        <w:rPr>
          <w:bCs/>
          <w:b/>
        </w:rPr>
        <w:t xml:space="preserve">Phase 1: Setup and Licensing (Months 1-3):</w:t>
      </w:r>
    </w:p>
    <w:p>
      <w:pPr>
        <w:numPr>
          <w:ilvl w:val="0"/>
          <w:numId w:val="1000"/>
        </w:numPr>
        <w:pStyle w:val="Compact"/>
      </w:pPr>
      <w:r>
        <w:t xml:space="preserve">Registration with the Moroccan Ministry of Industry and Trade, obtaining necessary professional licenses for consultancy, and establishing office space in the Casablanca Finance City to enhance credibility.</w:t>
      </w:r>
    </w:p>
    <w:p>
      <w:pPr>
        <w:numPr>
          <w:ilvl w:val="0"/>
          <w:numId w:val="1004"/>
        </w:numPr>
        <w:pStyle w:val="Compact"/>
      </w:pPr>
      <w:r>
        <w:rPr>
          <w:bCs/>
          <w:b/>
        </w:rPr>
        <w:t xml:space="preserve">Phase 2: Pilot Projects (Months 4-6):</w:t>
      </w:r>
    </w:p>
    <w:p>
      <w:pPr>
        <w:numPr>
          <w:ilvl w:val="0"/>
          <w:numId w:val="1000"/>
        </w:numPr>
        <w:pStyle w:val="Compact"/>
      </w:pPr>
      <w:r>
        <w:t xml:space="preserve">Piloting services with three local SMEs and one international entity expanding into Casablanca. This allows for real-world testing of our consultancy methodologies.</w:t>
      </w:r>
    </w:p>
    <w:p>
      <w:pPr>
        <w:numPr>
          <w:ilvl w:val="0"/>
          <w:numId w:val="1004"/>
        </w:numPr>
        <w:pStyle w:val="Compact"/>
      </w:pPr>
      <w:r>
        <w:rPr>
          <w:bCs/>
          <w:b/>
        </w:rPr>
        <w:t xml:space="preserve">Phase 3: Scaling and Integration (Months 7-12):</w:t>
      </w:r>
    </w:p>
    <w:p>
      <w:pPr>
        <w:numPr>
          <w:ilvl w:val="0"/>
          <w:numId w:val="1000"/>
        </w:numPr>
        <w:pStyle w:val="Compact"/>
      </w:pPr>
      <w:r>
        <w:t xml:space="preserve">Based on feedback from the pilot phase, refining the Business Consultant toolkit to better address specific pain points observed in the Casablanca market, such as talent acquisition and local regulatory navigation.</w:t>
      </w:r>
    </w:p>
    <w:bookmarkEnd w:id="27"/>
    <w:bookmarkStart w:id="28" w:name="conclusion"/>
    <w:p>
      <w:pPr>
        <w:pStyle w:val="Heading2"/>
      </w:pPr>
      <w:r>
        <w:t xml:space="preserve">7. Conclusion</w:t>
      </w:r>
    </w:p>
    <w:p>
      <w:pPr>
        <w:pStyle w:val="FirstParagraph"/>
      </w:pPr>
      <w:r>
        <w:t xml:space="preserve">This Lab Report demonstrates that establishing a high-caliber Business Consultant practice in Morocco Casablanca is not only viable but highly strategic. The city’s position as the economic engine of Morocco provides a robust testing ground for innovative consultancy models. By integrating local cultural nuances with global business standards, our approach ensures sustainable growth for clients.</w:t>
      </w:r>
    </w:p>
    <w:p>
      <w:pPr>
        <w:pStyle w:val="BodyText"/>
      </w:pPr>
      <w:r>
        <w:t xml:space="preserve">The key to success lies in recognizing that "Business Consultant" services cannot be imported fully formed from abroad; they must be adapted to the specific soil of Morocco Casablanca. This includes respecting local business etiquette, leveraging regional economic incentives, and addressing the unique digital and regulatory landscape of the country. As we proceed with implementation, continuous monitoring and adaptation will remain central to our "Lab" methodology.</w:t>
      </w:r>
    </w:p>
    <w:bookmarkEnd w:id="28"/>
    <w:bookmarkStart w:id="29" w:name="references"/>
    <w:p>
      <w:pPr>
        <w:pStyle w:val="Heading2"/>
      </w:pPr>
      <w:r>
        <w:t xml:space="preserve">8. References</w:t>
      </w:r>
    </w:p>
    <w:p>
      <w:pPr>
        <w:numPr>
          <w:ilvl w:val="0"/>
          <w:numId w:val="1005"/>
        </w:numPr>
        <w:pStyle w:val="Compact"/>
      </w:pPr>
      <w:r>
        <w:t xml:space="preserve">Casablanca Finance City Authority Reports.</w:t>
      </w:r>
    </w:p>
    <w:p>
      <w:pPr>
        <w:numPr>
          <w:ilvl w:val="0"/>
          <w:numId w:val="1005"/>
        </w:numPr>
        <w:pStyle w:val="Compact"/>
      </w:pPr>
      <w:r>
        <w:t xml:space="preserve">Moroccan Investment Development Agency (AMDIE) Guidelines.</w:t>
      </w:r>
    </w:p>
    <w:p>
      <w:pPr>
        <w:numPr>
          <w:ilvl w:val="0"/>
          <w:numId w:val="1005"/>
        </w:numPr>
        <w:pStyle w:val="Compact"/>
      </w:pPr>
      <w:r>
        <w:t xml:space="preserve">Haut-Commissariat au Plan (HCP) Economic Indicators for Casablanca-Settat Region.</w:t>
      </w:r>
    </w:p>
    <w:p>
      <w:pPr>
        <w:numPr>
          <w:ilvl w:val="0"/>
          <w:numId w:val="1005"/>
        </w:numPr>
        <w:pStyle w:val="Compact"/>
      </w:pPr>
      <w:r>
        <w:t xml:space="preserve">Law 09-08 on the Protection of Personal Physical Persons regarding Data Processing in Morocco.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Business Consultancy Framework for Casablanca, Morocco</dc:title>
  <dc:creator/>
  <cp:keywords/>
  <dcterms:created xsi:type="dcterms:W3CDTF">2026-07-29T17:19:11Z</dcterms:created>
  <dcterms:modified xsi:type="dcterms:W3CDTF">2026-07-29T17:19:11Z</dcterms:modified>
</cp:coreProperties>
</file>

<file path=docProps/custom.xml><?xml version="1.0" encoding="utf-8"?>
<Properties xmlns="http://schemas.openxmlformats.org/officeDocument/2006/custom-properties" xmlns:vt="http://schemas.openxmlformats.org/officeDocument/2006/docPropsVTypes"/>
</file>