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Framework</w:t>
      </w:r>
      <w:r>
        <w:t xml:space="preserve"> </w:t>
      </w:r>
      <w:r>
        <w:t xml:space="preserve">for</w:t>
      </w:r>
      <w:r>
        <w:t xml:space="preserve"> </w:t>
      </w:r>
      <w:r>
        <w:t xml:space="preserve">the</w:t>
      </w:r>
      <w:r>
        <w:t xml:space="preserve"> </w:t>
      </w:r>
      <w:r>
        <w:t xml:space="preserve">Netherlands</w:t>
      </w:r>
      <w:r>
        <w:t xml:space="preserve"> </w:t>
      </w:r>
      <w:r>
        <w:t xml:space="preserve">Amsterdam</w:t>
      </w:r>
      <w:r>
        <w:t xml:space="preserve"> </w:t>
      </w:r>
      <w:r>
        <w:t xml:space="preserve">Market</w:t>
      </w:r>
    </w:p>
    <w:bookmarkStart w:id="27" w:name="Xf984738fdfa88dffe84d92cbd27cd9db21b6b94"/>
    <w:p>
      <w:pPr>
        <w:pStyle w:val="Heading1"/>
      </w:pPr>
      <w:r>
        <w:t xml:space="preserve">Laboratory Report: Strategic Business Consultancy Framework for the Netherlands Amsterdam Market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Regulatory Bodies</w:t>
      </w:r>
      <w:r>
        <w:br/>
      </w:r>
      <w:r>
        <w:t xml:space="preserve">Senior Consulting Division</w:t>
      </w:r>
      <w:r>
        <w:br/>
      </w:r>
    </w:p>
    <w:p>
      <w:pPr>
        <w:pStyle w:val="BodyText"/>
      </w:pPr>
      <w:r>
        <w:t xml:space="preserve">This document serves as a formal</w:t>
      </w:r>
      <w:r>
        <w:t xml:space="preserve"> </w:t>
      </w:r>
      <w:r>
        <w:rPr>
          <w:iCs/>
          <w:i/>
          <w:bCs/>
          <w:b/>
        </w:rPr>
        <w:t xml:space="preserve">Lab Report</w:t>
      </w:r>
      <w:r>
        <w:t xml:space="preserve"> </w:t>
      </w:r>
      <w:r>
        <w:t xml:space="preserve">detailing the experimental application of advanced strategic methodologies employed by a</w:t>
      </w:r>
      <w:r>
        <w:t xml:space="preserve"> </w:t>
      </w:r>
      <w:r>
        <w:rPr>
          <w:iCs/>
          <w:i/>
          <w:bCs/>
          <w:b/>
        </w:rPr>
        <w:t xml:space="preserve">Business Consultant</w:t>
      </w:r>
      <w:r>
        <w:t xml:space="preserve">. The primary objective of this analysis is to evaluate the efficacy, operational efficiency, and market penetration strategies required for success in one of Europe's most competitive urban centers:</w:t>
      </w:r>
      <w:r>
        <w:t xml:space="preserve"> </w:t>
      </w:r>
      <w:r>
        <w:rPr>
          <w:iCs/>
          <w:i/>
          <w:bCs/>
          <w:b/>
        </w:rPr>
        <w:t xml:space="preserve">Netherlands Amsterdam</w:t>
      </w:r>
      <w:r>
        <w:t xml:space="preserve">. By treating the local business environment as a controlled laboratory setting, we aim to isolate variables such as regulatory compliance, cultural nuance, digital infrastructure integration. The findings suggest that a hybrid approach combining traditional management science with agile technological adoption is essential for sustainable growth in this specific geographic and economic context.</w:t>
      </w:r>
    </w:p>
    <w:bookmarkStart w:id="26" w:name="introduction-and-objectives"/>
    <w:p>
      <w:pPr>
        <w:pStyle w:val="Heading2"/>
      </w:pPr>
      <w:r>
        <w:t xml:space="preserve">1.0 Introduction and Objectives</w:t>
      </w:r>
    </w:p>
    <w:p>
      <w:pPr>
        <w:pStyle w:val="FirstParagraph"/>
      </w:pPr>
      <w:r>
        <w:t xml:space="preserve">The role of the</w:t>
      </w:r>
      <w:r>
        <w:t xml:space="preserve"> </w:t>
      </w:r>
      <w:r>
        <w:rPr>
          <w:iCs/>
          <w:i/>
          <w:bCs/>
          <w:b/>
        </w:rPr>
        <w:t xml:space="preserve">Business Consultant</w:t>
      </w:r>
      <w:r>
        <w:rPr>
          <w:iCs/>
          <w:i/>
        </w:rPr>
        <w:t xml:space="preserve">Netherlands Amsterdam</w:t>
      </w:r>
      <w:r>
        <w:t xml:space="preserve">. The city is not merely a financial hub but a testing ground for innovation in sustainability, digitalization, and international trade.</w:t>
      </w:r>
    </w:p>
    <w:p>
      <w:pPr>
        <w:pStyle w:val="BodyText"/>
      </w:pPr>
      <w:r>
        <w:t xml:space="preserve">The specific objectives of this laboratory study are as follows:</w:t>
      </w:r>
    </w:p>
    <w:p>
      <w:pPr>
        <w:numPr>
          <w:ilvl w:val="0"/>
          <w:numId w:val="1001"/>
        </w:numPr>
        <w:pStyle w:val="Compact"/>
      </w:pPr>
      <w:r>
        <w:t xml:space="preserve">To assess the current regulatory landscape affecting foreign and domestic enterprises in</w:t>
      </w:r>
      <w:r>
        <w:t xml:space="preserve"> </w:t>
      </w:r>
      <w:r>
        <w:rPr>
          <w:iCs/>
          <w:i/>
          <w:bCs/>
          <w:b/>
        </w:rPr>
        <w:t xml:space="preserve">Netherlands Amsterdam</w:t>
      </w:r>
      <w:r>
        <w:t xml:space="preserve">.</w:t>
      </w:r>
    </w:p>
    <w:p>
      <w:pPr>
        <w:numPr>
          <w:ilvl w:val="0"/>
          <w:numId w:val="1001"/>
        </w:numPr>
        <w:pStyle w:val="Compact"/>
      </w:pPr>
      <w:r>
        <w:t xml:space="preserve">To analyze the impact of cultural frameworks on management structures recommended by a</w:t>
      </w:r>
      <w:r>
        <w:t xml:space="preserve"> </w:t>
      </w:r>
      <w:r>
        <w:rPr>
          <w:iCs/>
          <w:i/>
          <w:bCs/>
          <w:b/>
        </w:rPr>
        <w:t xml:space="preserve">Business Consultant</w:t>
      </w:r>
      <w:r>
        <w:t xml:space="preserve">.</w:t>
      </w:r>
    </w:p>
    <w:p>
      <w:pPr>
        <w:pStyle w:val="FirstParagraph"/>
      </w:pPr>
      <w:r>
        <w:t xml:space="preserve">In adhering to the structure of a rigorous</w:t>
      </w:r>
      <w:r>
        <w:t xml:space="preserve"> </w:t>
      </w:r>
      <w:r>
        <w:t xml:space="preserve">, this section outlines the methods used to gather and analyze data. We adopted a mixed-methods approach, combining quantitative financial modeling with qualitative stakeholder interviews.</w:t>
      </w:r>
    </w:p>
    <w:bookmarkStart w:id="20" w:name="data-collection-in-netherlands-amsterdam"/>
    <w:p>
      <w:pPr>
        <w:pStyle w:val="Heading3"/>
      </w:pPr>
      <w:r>
        <w:t xml:space="preserve">2.1 Data Collection in Netherlands Amsterdam</w:t>
      </w:r>
    </w:p>
    <w:p>
      <w:pPr>
        <w:pStyle w:val="FirstParagraph"/>
      </w:pPr>
      <w:r>
        <w:t xml:space="preserve">Data was collected primarily from businesses located within the</w:t>
      </w:r>
      <w:r>
        <w:t xml:space="preserve"> </w:t>
      </w:r>
      <w:r>
        <w:rPr>
          <w:iCs/>
          <w:i/>
          <w:bCs/>
          <w:b/>
        </w:rPr>
        <w:t xml:space="preserve">Netherlands Amsterdam</w:t>
      </w:r>
    </w:p>
    <w:bookmarkEnd w:id="20"/>
    <w:bookmarkStart w:id="21" w:name="X72102afbc32cebad38c708afaf3c205e0354b57"/>
    <w:p>
      <w:pPr>
        <w:pStyle w:val="Heading3"/>
      </w:pPr>
      <w:r>
        <w:t xml:space="preserve">2.2 Variables for the Business Consultant Analysis</w:t>
      </w:r>
    </w:p>
    <w:p>
      <w:pPr>
        <w:pStyle w:val="FirstParagraph"/>
      </w:pPr>
      <w:r>
        <w:t xml:space="preserve">The</w:t>
      </w:r>
      <w:r>
        <w:t xml:space="preserve"> </w:t>
      </w:r>
      <w:r>
        <w:rPr>
          <w:iCs/>
          <w:i/>
          <w:bCs/>
          <w:b/>
        </w:rPr>
        <w:t xml:space="preserve">Business Consultant</w:t>
      </w:r>
    </w:p>
    <w:p>
      <w:pPr>
        <w:numPr>
          <w:ilvl w:val="0"/>
          <w:numId w:val="1002"/>
        </w:numPr>
        <w:pStyle w:val="Compact"/>
      </w:pPr>
      <w:r>
        <w:rPr>
          <w:bCs/>
          <w:b/>
        </w:rPr>
        <w:t xml:space="preserve">Labor Law Compliance Audits:</w:t>
      </w:r>
    </w:p>
    <w:p>
      <w:pPr>
        <w:numPr>
          <w:ilvl w:val="0"/>
          <w:numId w:val="1002"/>
        </w:numPr>
        <w:pStyle w:val="Compact"/>
      </w:pPr>
      <w:r>
        <w:rPr>
          <w:iCs/>
          <w:i/>
        </w:rPr>
        <w:t xml:space="preserve">Tax Efficiency Strategies:</w:t>
      </w:r>
    </w:p>
    <w:p>
      <w:pPr>
        <w:numPr>
          <w:ilvl w:val="0"/>
          <w:numId w:val="1002"/>
        </w:numPr>
        <w:pStyle w:val="Compact"/>
      </w:pPr>
      <w:r>
        <w:rPr>
          <w:bCs/>
          <w:b/>
        </w:rPr>
        <w:t xml:space="preserve">Digital Integration:</w:t>
      </w:r>
    </w:p>
    <w:p>
      <w:pPr>
        <w:numPr>
          <w:ilvl w:val="0"/>
          <w:numId w:val="1000"/>
        </w:numPr>
        <w:pStyle w:val="Compact"/>
      </w:pPr>
      <w:r>
        <w:t xml:space="preserve">Implementing ERP (Enterprise Resource Planning) systems tailored to Dutch market expectations regarding data privacy (GDPR compliance).</w:t>
      </w:r>
    </w:p>
    <w:bookmarkEnd w:id="21"/>
    <w:bookmarkStart w:id="22" w:name="Xad4bae67a325d0138fe26683ad9a0cc31e244eb"/>
    <w:p>
      <w:pPr>
        <w:pStyle w:val="Heading3"/>
      </w:pPr>
      <w:r>
        <w:t xml:space="preserve">3.1 The Regulatory Environment in Netherlands Amsterdam</w:t>
      </w:r>
    </w:p>
    <w:p>
      <w:pPr>
        <w:pStyle w:val="FirstParagraph"/>
      </w:pPr>
      <w:r>
        <w:t xml:space="preserve">The initial phase of the</w:t>
      </w:r>
      <w:r>
        <w:t xml:space="preserve"> </w:t>
      </w:r>
      <w:r>
        <w:rPr>
          <w:iCs/>
          <w:i/>
        </w:rPr>
        <w:t xml:space="preserve">Netherlands Amsterdam.</w:t>
      </w:r>
      <w:r>
        <w:t xml:space="preserve"> </w:t>
      </w:r>
      <w:r>
        <w:t xml:space="preserve">The Dutch government maintains a highly structured bureaucratic system. A</w:t>
      </w:r>
      <w:r>
        <w:t xml:space="preserve"> </w:t>
      </w:r>
      <w:r>
        <w:rPr>
          <w:iCs/>
          <w:i/>
          <w:bCs/>
          <w:b/>
        </w:rPr>
        <w:t xml:space="preserve">Business Consultant</w:t>
      </w:r>
    </w:p>
    <w:bookmarkEnd w:id="22"/>
    <w:bookmarkStart w:id="23" w:name="cultural-nuances-and-management-styles"/>
    <w:p>
      <w:pPr>
        <w:pStyle w:val="Heading3"/>
      </w:pPr>
      <w:r>
        <w:t xml:space="preserve">3.2 Cultural Nuances and Management Styles</w:t>
      </w:r>
    </w:p>
    <w:p>
      <w:pPr>
        <w:pStyle w:val="FirstParagraph"/>
      </w:pPr>
      <w:r>
        <w:t xml:space="preserve">A critical finding of this study is the importance of the "Dutch Directness" culture. In</w:t>
      </w:r>
      <w:r>
        <w:t xml:space="preserve"> </w:t>
      </w:r>
      <w:r>
        <w:rPr>
          <w:iCs/>
          <w:i/>
          <w:bCs/>
          <w:b/>
        </w:rPr>
        <w:t xml:space="preserve">Netherlands Amsterdam,</w:t>
      </w:r>
      <w:r>
        <w:rPr>
          <w:iCs/>
          <w:i/>
        </w:rPr>
        <w:t xml:space="preserve">Business Consultant</w:t>
      </w:r>
    </w:p>
    <w:bookmarkEnd w:id="23"/>
    <w:bookmarkStart w:id="24" w:name="X38b6702ee03c74332adf86d8648d8758e542fd2"/>
    <w:p>
      <w:pPr>
        <w:pStyle w:val="Heading3"/>
      </w:pPr>
      <w:r>
        <w:t xml:space="preserve">3.3 Digital Infrastructure and Sustainability</w:t>
      </w:r>
    </w:p>
    <w:p>
      <w:pPr>
        <w:pStyle w:val="FirstParagraph"/>
      </w:pPr>
      <w:r>
        <w:rPr>
          <w:iCs/>
          <w:i/>
          <w:bCs/>
          <w:b/>
        </w:rPr>
        <w:t xml:space="preserve">Netherlands Amsterdam</w:t>
      </w:r>
      <w:r>
        <w:rPr>
          <w:iCs/>
          <w:i/>
        </w:rPr>
        <w:t xml:space="preserve">Business Consultant's</w:t>
      </w:r>
    </w:p>
    <w:bookmarkEnd w:id="24"/>
    <w:bookmarkStart w:id="25" w:name="talent-acquisition-challenges"/>
    <w:p>
      <w:pPr>
        <w:pStyle w:val="Heading3"/>
      </w:pPr>
      <w:r>
        <w:t xml:space="preserve">3.4 Talent Acquisition Challenges</w:t>
      </w:r>
    </w:p>
    <w:p>
      <w:pPr>
        <w:pStyle w:val="FirstParagraph"/>
      </w:pPr>
      <w:r>
        <w:t xml:space="preserve">The labor market in</w:t>
      </w:r>
      <w:r>
        <w:t xml:space="preserve"> </w:t>
      </w:r>
      <w:r>
        <w:rPr>
          <w:iCs/>
          <w:i/>
          <w:bCs/>
          <w:b/>
        </w:rPr>
        <w:t xml:space="preserve">Netherlands Amsterdam</w:t>
      </w:r>
    </w:p>
    <w:p>
      <w:pPr>
        <w:pStyle w:val="BodyText"/>
      </w:pPr>
      <w:r>
        <w:t xml:space="preserve">Business Consultant must develop robust retention strategies that go beyond salary. Benefits such as flexible working hours, remote work options (hybrid models), and strong work-life balance are non-negotiable requirements for attracting top tier professionals in this region.</w:t>
      </w:r>
    </w:p>
    <w:p>
      <w:pPr>
        <w:pStyle w:val="BodyText"/>
      </w:pPr>
      <w:r>
        <w:t xml:space="preserve">The following table summarizes the key performance indicators (KPIs) observed after implementing the</w:t>
      </w:r>
      <w:r>
        <w:t xml:space="preserve"> </w:t>
      </w:r>
      <w:r>
        <w:rPr>
          <w:iCs/>
          <w:i/>
          <w:bCs/>
          <w:b/>
        </w:rPr>
        <w:t xml:space="preserve">Business Consultant's</w:t>
      </w:r>
    </w:p>
    <w:p>
      <w:pPr>
        <w:pStyle w:val="BodyText"/>
      </w:pPr>
      <w:r>
        <w:t xml:space="preserve">KPI Metric</w:t>
      </w:r>
    </w:p>
    <w:p>
      <w:pPr>
        <w:pStyle w:val="BodyText"/>
      </w:pPr>
      <w:r>
        <w:t xml:space="preserve">Netherlands Amsterdam</w:t>
      </w:r>
    </w:p>
    <w:p>
      <w:pPr>
        <w:pStyle w:val="BodyText"/>
      </w:pPr>
      <w:r>
        <w:t xml:space="preserve">&gt;</w:t>
      </w:r>
    </w:p>
    <w:p>
      <w:pPr>
        <w:pStyle w:val="BodyText"/>
      </w:pPr>
      <w:r>
        <w:t xml:space="preserve">&gt;</w:t>
      </w:r>
      <w:r>
        <w:t xml:space="preserve"> </w:t>
      </w:r>
      <w:r>
        <w:t xml:space="preserve">tbody&gt;&gt; tr&gt;&gt; tdOperational Efficiency</w:t>
      </w:r>
    </w:p>
    <w:p>
      <w:pPr>
        <w:pStyle w:val="BodyText"/>
      </w:pPr>
      <w:r>
        <w:t xml:space="preserve">The data clearly indicates that professional consultancy leads to significant improvements in operational stability and employee satisfaction within</w:t>
      </w:r>
      <w:r>
        <w:t xml:space="preserve"> </w:t>
      </w:r>
      <w:r>
        <w:rPr>
          <w:iCs/>
          <w:i/>
          <w:bCs/>
          <w:b/>
        </w:rPr>
        <w:t xml:space="preserve">Netherlands Amsterdam.</w:t>
      </w:r>
    </w:p>
    <w:p>
      <w:pPr>
        <w:pStyle w:val="BodyText"/>
      </w:pPr>
      <w:r>
        <w:t xml:space="preserve">The results support the hypothesis that a specialized</w:t>
      </w:r>
      <w:r>
        <w:t xml:space="preserve"> </w:t>
      </w:r>
      <w:r>
        <w:rPr>
          <w:iCs/>
          <w:i/>
          <w:bCs/>
          <w:b/>
        </w:rPr>
        <w:t xml:space="preserve">Business ConsultantNetherlands Amsterdam.</w:t>
      </w:r>
    </w:p>
    <w:p>
      <w:pPr>
        <w:pStyle w:val="BodyText"/>
      </w:pPr>
      <w:r>
        <w:t xml:space="preserve">Furthermore, the concept of "Lab Report" here implies an ongoing process of testing and iteration. Business strategies are not static; they must evolve in response to changing economic conditions in</w:t>
      </w:r>
      <w:r>
        <w:t xml:space="preserve"> </w:t>
      </w:r>
      <w:r>
        <w:rPr>
          <w:iCs/>
          <w:i/>
          <w:bCs/>
          <w:b/>
        </w:rPr>
        <w:t xml:space="preserve">Netherlands Amsterdam.</w:t>
      </w:r>
    </w:p>
    <w:p>
      <w:pPr>
        <w:pStyle w:val="BodyText"/>
      </w:pPr>
      <w:r>
        <w:t xml:space="preserve">This</w:t>
      </w:r>
    </w:p>
    <w:p>
      <w:pPr>
        <w:pStyle w:val="BodyText"/>
      </w:pPr>
      <w:r>
        <w:rPr>
          <w:iCs/>
          <w:i/>
        </w:rPr>
        <w:t xml:space="preserve">Netherlands Amsterdam</w:t>
      </w:r>
    </w:p>
    <w:p>
      <w:pPr>
        <w:pStyle w:val="BodyText"/>
      </w:pPr>
      <w:r>
        <w:t xml:space="preserve">For future studies, it is recommended to expand the scope of this lab report to include comparative analyses with other major European hubs such as Berlin and London. However, within the current scope, the evidence strongly supports the necessity of specialized consultancy services in</w:t>
      </w:r>
      <w:r>
        <w:t xml:space="preserve"> </w:t>
      </w:r>
      <w:r>
        <w:rPr>
          <w:iCs/>
          <w:i/>
          <w:bCs/>
          <w:b/>
        </w:rPr>
        <w:t xml:space="preserve">Netherlands Amsterdam.</w:t>
      </w:r>
    </w:p>
    <w:p>
      <w:pPr>
        <w:numPr>
          <w:ilvl w:val="0"/>
          <w:numId w:val="1003"/>
        </w:numPr>
        <w:pStyle w:val="Compact"/>
      </w:pPr>
      <w:r>
        <w:t xml:space="preserve">Dutch Chamber of Commerce (KVK) Annual Market Reports.</w:t>
      </w:r>
    </w:p>
    <w:p>
      <w:pPr>
        <w:numPr>
          <w:ilvl w:val="0"/>
          <w:numId w:val="1003"/>
        </w:numPr>
        <w:pStyle w:val="Compact"/>
      </w:pPr>
      <w:r>
        <w:t xml:space="preserve">Municipal Government of Amsterdam Economic Development Guidelines.</w:t>
      </w:r>
    </w:p>
    <w:p>
      <w:pPr>
        <w:pStyle w:val="FirstParagraph"/>
      </w:pPr>
      <w:r>
        <w:t xml:space="preserve">&gt;</w:t>
      </w:r>
    </w:p>
    <w:p>
      <w:pPr>
        <w:pStyle w:val="BodyText"/>
      </w:pPr>
      <w:r>
        <w:rPr>
          <w:iCs/>
          <w:i/>
        </w:rPr>
        <w:t xml:space="preserve">End of Document</w:t>
      </w:r>
    </w:p>
    <w:p>
      <w:pPr>
        <w:pStyle w:val="BodyText"/>
      </w:pPr>
      <w:r>
        <w:t xml:space="preserve">&gt;</w:t>
      </w:r>
    </w:p>
    <w:p>
      <w:pPr>
        <w:pStyle w:val="BodyText"/>
      </w:pPr>
      <w:r>
        <w:t xml:space="preserve">html</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Consultancy Framework for the Netherlands Amsterdam Market</dc:title>
  <dc:creator/>
  <cp:keywords/>
  <dcterms:created xsi:type="dcterms:W3CDTF">2026-07-29T20:30:47Z</dcterms:created>
  <dcterms:modified xsi:type="dcterms:W3CDTF">2026-07-29T20:30:47Z</dcterms:modified>
</cp:coreProperties>
</file>

<file path=docProps/custom.xml><?xml version="1.0" encoding="utf-8"?>
<Properties xmlns="http://schemas.openxmlformats.org/officeDocument/2006/custom-properties" xmlns:vt="http://schemas.openxmlformats.org/officeDocument/2006/docPropsVTypes"/>
</file>