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Russia</w:t>
      </w:r>
      <w:r>
        <w:t xml:space="preserve"> </w:t>
      </w:r>
      <w:r>
        <w:t xml:space="preserve">Saint</w:t>
      </w:r>
      <w:r>
        <w:t xml:space="preserve"> </w:t>
      </w:r>
      <w:r>
        <w:t xml:space="preserve">Petersburg</w:t>
      </w:r>
    </w:p>
    <w:bookmarkStart w:id="20" w:name="X99cae5a7f190c56ec707ed994026fa6e5452db3"/>
    <w:p>
      <w:pPr>
        <w:pStyle w:val="Heading1"/>
      </w:pPr>
      <w:r>
        <w:t xml:space="preserve">Laboratory Report on Strategic Business Consulting Implementation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Oversight Committee</w:t>
      </w:r>
      <w:r>
        <w:br/>
      </w:r>
      <w:r>
        <w:br/>
      </w:r>
      <w:r>
        <w:br/>
      </w:r>
      <w:r>
        <w:t xml:space="preserve">From: Senior Data Analysis &amp; Strategy Unit</w:t>
      </w:r>
      <w:r>
        <w:br/>
      </w:r>
      <w:r>
        <w:br/>
      </w:r>
      <w:r>
        <w:t xml:space="preserve">Subject: Operational Framework for a Business Consultant Entity in Russia Saint Petersburg</w:t>
      </w:r>
    </w:p>
    <w:bookmarkEnd w:id="20"/>
    <w:bookmarkStart w:id="21" w:name="introduction-and-objective"/>
    <w:p>
      <w:pPr>
        <w:pStyle w:val="Heading2"/>
      </w:pPr>
      <w:r>
        <w:t xml:space="preserve">1.0 Introduction and Objective</w:t>
      </w:r>
    </w:p>
    <w:p>
      <w:pPr>
        <w:pStyle w:val="FirstParagraph"/>
      </w:pPr>
      <w:r>
        <w:t xml:space="preserve">This document serves as a comprehensive Lab Report detailing the structural, legal, and strategic requirements for establishing a Business Consultant firm within the unique economic landscape of Russia Saint Petersburg. The primary objective of this report is to analyze the local market dynamics, regulatory environments, and cultural nuances that define successful consulting operations in this specific geographic region. As global markets shift and regional economies evolve, understanding the distinct characteristics of</w:t>
      </w:r>
      <w:r>
        <w:t xml:space="preserve"> </w:t>
      </w:r>
      <w:r>
        <w:rPr>
          <w:bCs/>
          <w:b/>
        </w:rPr>
        <w:t xml:space="preserve">Russia Saint Petersburg</w:t>
      </w:r>
      <w:r>
        <w:t xml:space="preserve"> </w:t>
      </w:r>
      <w:r>
        <w:t xml:space="preserve">is paramount for any enterprise seeking sustainable growth and operational efficiency.</w:t>
      </w:r>
    </w:p>
    <w:p>
      <w:pPr>
        <w:pStyle w:val="BodyText"/>
      </w:pPr>
      <w:r>
        <w:t xml:space="preserve">The term "Lab Report" is utilized here metaphorically to denote a rigorous, experimental approach to business setup, where hypotheses regarding market entry are tested against hard data regarding taxation, labor laws, and consumer behavior. This report aims to provide a definitive roadmap for the</w:t>
      </w:r>
      <w:r>
        <w:t xml:space="preserve"> </w:t>
      </w:r>
      <w:r>
        <w:rPr>
          <w:bCs/>
          <w:b/>
        </w:rPr>
        <w:t xml:space="preserve">Business Consultant</w:t>
      </w:r>
      <w:r>
        <w:t xml:space="preserve"> </w:t>
      </w:r>
      <w:r>
        <w:t xml:space="preserve">role within this context.</w:t>
      </w:r>
    </w:p>
    <w:bookmarkEnd w:id="21"/>
    <w:bookmarkStart w:id="24" w:name="methodology-and-market-analysis"/>
    <w:p>
      <w:pPr>
        <w:pStyle w:val="Heading2"/>
      </w:pPr>
      <w:r>
        <w:t xml:space="preserve">2.0 Methodology and Market Analysis</w:t>
      </w:r>
    </w:p>
    <w:p>
      <w:pPr>
        <w:pStyle w:val="FirstParagraph"/>
      </w:pPr>
      <w:r>
        <w:t xml:space="preserve">The methodology employed in this analysis involves a multi-layered examination of the Saint Petersburg ecosystem. Unlike Moscow, which serves as the primary financial hub,</w:t>
      </w:r>
      <w:r>
        <w:t xml:space="preserve"> </w:t>
      </w:r>
      <w:r>
        <w:rPr>
          <w:bCs/>
          <w:b/>
        </w:rPr>
        <w:t xml:space="preserve">Russia Saint Petersburg</w:t>
      </w:r>
      <w:r>
        <w:t xml:space="preserve"> </w:t>
      </w:r>
      <w:r>
        <w:t xml:space="preserve">operates as a cultural, historical, and secondary economic center with distinct advantages regarding logistics and access to European markets via its ports. The analysis focuses on three core pillars: Regulatory Compliance, Cultural Integration, and Strategic Positioning.</w:t>
      </w:r>
    </w:p>
    <w:bookmarkStart w:id="22" w:name="regulatory-landscape"/>
    <w:p>
      <w:pPr>
        <w:pStyle w:val="Heading3"/>
      </w:pPr>
      <w:r>
        <w:t xml:space="preserve">2.1 Regulatory Landscape</w:t>
      </w:r>
    </w:p>
    <w:p>
      <w:pPr>
        <w:pStyle w:val="FirstParagraph"/>
      </w:pPr>
      <w:r>
        <w:t xml:space="preserve">The legal framework for a</w:t>
      </w:r>
      <w:r>
        <w:t xml:space="preserve"> </w:t>
      </w:r>
      <w:r>
        <w:rPr>
          <w:bCs/>
          <w:b/>
        </w:rPr>
        <w:t xml:space="preserve">Business Consultant</w:t>
      </w:r>
      <w:r>
        <w:t xml:space="preserve"> </w:t>
      </w:r>
      <w:r>
        <w:t xml:space="preserve">in Russia involves strict adherence to the Federal Tax Service regulations and local municipal codes. Saint Petersburg has implemented specific incentives for small and medium-sized enterprises (SMEs) in technology and consulting sectors. However, recent geopolitical shifts have introduced complex sanctions regimes that require meticulous compliance checks. A</w:t>
      </w:r>
      <w:r>
        <w:t xml:space="preserve"> </w:t>
      </w:r>
      <w:r>
        <w:rPr>
          <w:bCs/>
          <w:b/>
        </w:rPr>
        <w:t xml:space="preserve">Business Consultant</w:t>
      </w:r>
      <w:r>
        <w:t xml:space="preserve"> </w:t>
      </w:r>
      <w:r>
        <w:t xml:space="preserve">must navigate these complexities by establishing robust internal audit mechanisms.</w:t>
      </w:r>
    </w:p>
    <w:bookmarkEnd w:id="22"/>
    <w:bookmarkStart w:id="23" w:name="cultural-and-linguistic-nuances"/>
    <w:p>
      <w:pPr>
        <w:pStyle w:val="Heading3"/>
      </w:pPr>
      <w:r>
        <w:t xml:space="preserve">2.2 Cultural and Linguistic Nuances</w:t>
      </w:r>
    </w:p>
    <w:p>
      <w:pPr>
        <w:pStyle w:val="FirstParagraph"/>
      </w:pPr>
      <w:r>
        <w:t xml:space="preserve">Saint Petersburg is known for its intellectual history and higher education levels compared to other regions in Russia. Consequently, the client base for a</w:t>
      </w:r>
      <w:r>
        <w:t xml:space="preserve"> </w:t>
      </w:r>
      <w:r>
        <w:rPr>
          <w:bCs/>
          <w:b/>
        </w:rPr>
        <w:t xml:space="preserve">Business Consultant</w:t>
      </w:r>
      <w:r>
        <w:t xml:space="preserve"> </w:t>
      </w:r>
      <w:r>
        <w:t xml:space="preserve">tends to be highly educated, demanding sophisticated analytical solutions rather than generic advice. The business culture emphasizes formal relationships initially, with trust being built through consistent reliability and professional competence. Language proficiency in Russian is not merely a convenience but a critical operational necessity for any</w:t>
      </w:r>
      <w:r>
        <w:t xml:space="preserve"> </w:t>
      </w:r>
      <w:r>
        <w:rPr>
          <w:bCs/>
          <w:b/>
        </w:rPr>
        <w:t xml:space="preserve">Business Consultant</w:t>
      </w:r>
      <w:r>
        <w:t xml:space="preserve"> </w:t>
      </w:r>
      <w:r>
        <w:t xml:space="preserve">aiming to succeed in</w:t>
      </w:r>
      <w:r>
        <w:t xml:space="preserve"> </w:t>
      </w:r>
      <w:r>
        <w:rPr>
          <w:bCs/>
          <w:b/>
        </w:rPr>
        <w:t xml:space="preserve">Russia Saint Petersburg</w:t>
      </w:r>
      <w:r>
        <w:t xml:space="preserve">.</w:t>
      </w:r>
    </w:p>
    <w:bookmarkEnd w:id="23"/>
    <w:bookmarkEnd w:id="24"/>
    <w:bookmarkStart w:id="27" w:name="Xe30848005d0e2a863a4067bcdf7c2c3ec8a2538"/>
    <w:p>
      <w:pPr>
        <w:pStyle w:val="Heading2"/>
      </w:pPr>
      <w:r>
        <w:t xml:space="preserve">3.0 Operational Framework for the Business Consultant</w:t>
      </w:r>
    </w:p>
    <w:p>
      <w:pPr>
        <w:pStyle w:val="FirstParagraph"/>
      </w:pPr>
      <w:r>
        <w:t xml:space="preserve">To effectively serve clients in this region, the proposed operational model integrates local expertise with international best practices. The following sections outline the specific duties and strategic focus areas.</w:t>
      </w:r>
    </w:p>
    <w:bookmarkStart w:id="25" w:name="market-entry-strategy"/>
    <w:p>
      <w:pPr>
        <w:pStyle w:val="Heading3"/>
      </w:pPr>
      <w:r>
        <w:t xml:space="preserve">3.1 Market Entry Strategy</w:t>
      </w:r>
    </w:p>
    <w:p>
      <w:pPr>
        <w:pStyle w:val="FirstParagraph"/>
      </w:pPr>
      <w:r>
        <w:t xml:space="preserve">A</w:t>
      </w:r>
      <w:r>
        <w:t xml:space="preserve"> </w:t>
      </w:r>
      <w:r>
        <w:rPr>
          <w:bCs/>
          <w:b/>
        </w:rPr>
        <w:t xml:space="preserve">Business Consultant</w:t>
      </w:r>
      <w:r>
        <w:t xml:space="preserve"> </w:t>
      </w:r>
      <w:r>
        <w:t xml:space="preserve">operating in</w:t>
      </w:r>
      <w:r>
        <w:t xml:space="preserve"> </w:t>
      </w:r>
      <w:r>
        <w:rPr>
          <w:bCs/>
          <w:b/>
        </w:rPr>
        <w:t xml:space="preserve">Russia Saint Petersburg</w:t>
      </w:r>
      <w:r>
        <w:t xml:space="preserve"> </w:t>
      </w:r>
      <w:r>
        <w:t xml:space="preserve">must first conduct a detailed feasibility study for their own entry or for client entries. This involves analyzing the local competition, identifying niche markets where Western methodologies can be adapted rather than directly applied, and establishing partnerships with local legal firms and accounting agencies. The port city’s logistics advantages make it an ideal hub for consulting firms focusing on supply chain optimization and international trade compliance.</w:t>
      </w:r>
    </w:p>
    <w:bookmarkEnd w:id="25"/>
    <w:bookmarkStart w:id="26" w:name="service-delivery-model"/>
    <w:p>
      <w:pPr>
        <w:pStyle w:val="Heading3"/>
      </w:pPr>
      <w:r>
        <w:t xml:space="preserve">3.2 Service Delivery Model</w:t>
      </w:r>
    </w:p>
    <w:p>
      <w:pPr>
        <w:pStyle w:val="FirstParagraph"/>
      </w:pPr>
      <w:r>
        <w:t xml:space="preserve">The service model will be hybrid, combining on-site presence in the Vasileostrovsky or Petrogradsky districts—areas known for high concentrations of corporate headquarters—with remote analytical support. This approach ensures that the</w:t>
      </w:r>
      <w:r>
        <w:t xml:space="preserve"> </w:t>
      </w:r>
      <w:r>
        <w:rPr>
          <w:bCs/>
          <w:b/>
        </w:rPr>
        <w:t xml:space="preserve">Business Consultant</w:t>
      </w:r>
      <w:r>
        <w:t xml:space="preserve"> </w:t>
      </w:r>
      <w:r>
        <w:t xml:space="preserve">is physically accessible to key stakeholders in</w:t>
      </w:r>
      <w:r>
        <w:t xml:space="preserve"> </w:t>
      </w:r>
      <w:r>
        <w:rPr>
          <w:bCs/>
          <w:b/>
        </w:rPr>
        <w:t xml:space="preserve">Russia Saint Petersburg</w:t>
      </w:r>
      <w:r>
        <w:t xml:space="preserve"> </w:t>
      </w:r>
      <w:r>
        <w:t xml:space="preserve">while maintaining operational flexibility.</w:t>
      </w:r>
    </w:p>
    <w:p>
      <w:pPr>
        <w:pStyle w:val="BodyText"/>
      </w:pPr>
      <w:r>
        <w:rPr>
          <w:bCs/>
          <w:b/>
        </w:rPr>
        <w:t xml:space="preserve">Key Services Include:</w:t>
      </w:r>
    </w:p>
    <w:p>
      <w:pPr>
        <w:numPr>
          <w:ilvl w:val="0"/>
          <w:numId w:val="1001"/>
        </w:numPr>
        <w:pStyle w:val="Compact"/>
      </w:pPr>
      <w:r>
        <w:rPr>
          <w:iCs/>
          <w:i/>
        </w:rPr>
        <w:t xml:space="preserve">Mergers and Acquisitions (M&amp;A) Advisory:</w:t>
      </w:r>
      <w:r>
        <w:t xml:space="preserve"> </w:t>
      </w:r>
      <w:r>
        <w:t xml:space="preserve">Navigating the complexities of cross-border deals within the local legal framework.</w:t>
      </w:r>
    </w:p>
    <w:p>
      <w:pPr>
        <w:numPr>
          <w:ilvl w:val="0"/>
          <w:numId w:val="1001"/>
        </w:numPr>
        <w:pStyle w:val="Compact"/>
      </w:pPr>
      <w:r>
        <w:rPr>
          <w:iCs/>
          <w:i/>
        </w:rPr>
        <w:t xml:space="preserve">Digital Transformation Consulting:</w:t>
      </w:r>
      <w:r>
        <w:t xml:space="preserve"> </w:t>
      </w:r>
      <w:r>
        <w:t xml:space="preserve">Helping traditional Russian enterprises adopt modern digital tools.</w:t>
      </w:r>
    </w:p>
    <w:p>
      <w:pPr>
        <w:numPr>
          <w:ilvl w:val="0"/>
          <w:numId w:val="1001"/>
        </w:numPr>
        <w:pStyle w:val="Compact"/>
      </w:pPr>
      <w:r>
        <w:rPr>
          <w:iCs/>
          <w:i/>
        </w:rPr>
        <w:t xml:space="preserve">Risk Management and Compliance:</w:t>
      </w:r>
      <w:r>
        <w:t xml:space="preserve"> </w:t>
      </w:r>
      <w:r>
        <w:t xml:space="preserve">Providing guidance on regulatory changes and sanction compliance.</w:t>
      </w:r>
    </w:p>
    <w:bookmarkEnd w:id="26"/>
    <w:bookmarkEnd w:id="27"/>
    <w:bookmarkStart w:id="28" w:name="risk-assessment-and-mitigation"/>
    <w:p>
      <w:pPr>
        <w:pStyle w:val="Heading2"/>
      </w:pPr>
      <w:r>
        <w:t xml:space="preserve">4.0 Risk Assessment and Mitigation</w:t>
      </w:r>
    </w:p>
    <w:p>
      <w:pPr>
        <w:pStyle w:val="FirstParagraph"/>
      </w:pPr>
      <w:r>
        <w:t xml:space="preserve">The establishment of a</w:t>
      </w:r>
      <w:r>
        <w:t xml:space="preserve"> </w:t>
      </w:r>
      <w:r>
        <w:rPr>
          <w:bCs/>
          <w:b/>
        </w:rPr>
        <w:t xml:space="preserve">Business Consultant</w:t>
      </w:r>
      <w:r>
        <w:t xml:space="preserve"> </w:t>
      </w:r>
      <w:r>
        <w:t xml:space="preserve">firm in this region carries inherent risks that must be proactively managed. These risks are categorized into political, economic, and operational dimensions.</w:t>
      </w:r>
    </w:p>
    <w:p>
      <w:pPr>
        <w:pStyle w:val="BodyText"/>
      </w:pPr>
      <w:r>
        <w:t xml:space="preserve">Risk Category</w:t>
      </w:r>
    </w:p>
    <w:bookmarkEnd w:id="28"/>
    <w:p>
      <w:pPr>
        <w:pStyle w:val="BodyText"/>
      </w:pPr>
      <w:r>
        <w:br/>
      </w:r>
    </w:p>
    <w:p>
      <w:pPr>
        <w:pStyle w:val="BodyText"/>
      </w:pPr>
      <w:r>
        <w:t xml:space="preserve">Description</w:t>
      </w:r>
    </w:p>
    <w:p>
      <w:pPr>
        <w:pStyle w:val="BodyText"/>
      </w:pPr>
      <w:r>
        <w:br/>
      </w:r>
    </w:p>
    <w:p>
      <w:pPr>
        <w:pStyle w:val="BodyText"/>
      </w:pPr>
      <w:r>
        <w:t xml:space="preserve">Mitigation Strategy for Business Consultant</w:t>
      </w:r>
    </w:p>
    <w:p>
      <w:pPr>
        <w:pStyle w:val="BodyText"/>
      </w:pPr>
      <w:r>
        <w:t xml:space="preserve">td &gt;</w:t>
      </w:r>
    </w:p>
    <w:p>
      <w:pPr>
        <w:pStyle w:val="BodyText"/>
      </w:pPr>
      <w:r>
        <w:t xml:space="preserve">&lt; br/ &gt; Recent geopolitical tensions have led to significant sanctions affecting banking and trade. A strong focus on local compliance and diversification of client portfolios across non-sensitive industries is required.</w:t>
      </w:r>
    </w:p>
    <w:p>
      <w:pPr>
        <w:pStyle w:val="BodyText"/>
      </w:pPr>
      <w:r>
        <w:br/>
      </w:r>
    </w:p>
    <w:p>
      <w:pPr>
        <w:pStyle w:val="BodyText"/>
      </w:pPr>
      <w:r>
        <w:t xml:space="preserve">Regular legal audits and engagement with top-tier local legal counsel in Russia Saint Petersburg</w:t>
      </w:r>
    </w:p>
    <w:p>
      <w:pPr>
        <w:pStyle w:val="BodyText"/>
      </w:pPr>
      <w:r>
        <w:t xml:space="preserve">td &gt;</w:t>
      </w:r>
    </w:p>
    <w:p>
      <w:pPr>
        <w:pStyle w:val="BodyText"/>
      </w:pPr>
      <w:r>
        <w:t xml:space="preserve">&lt; br/ &gt; Fluctuations in the Ruble and inflation rates impact client budgets. Offering fixed-fee contracts where possible and currency-hedged services can protect margins.</w:t>
      </w:r>
    </w:p>
    <w:p>
      <w:pPr>
        <w:pStyle w:val="BodyText"/>
      </w:pPr>
      <w:r>
        <w:br/>
      </w:r>
    </w:p>
    <w:p>
      <w:pPr>
        <w:pStyle w:val="BodyText"/>
      </w:pPr>
      <w:r>
        <w:t xml:space="preserve">Dynamic pricing models and regular financial health checks for clients</w:t>
      </w:r>
    </w:p>
    <w:p>
      <w:pPr>
        <w:pStyle w:val="BodyText"/>
      </w:pPr>
      <w:r>
        <w:t xml:space="preserve">td &gt;</w:t>
      </w:r>
    </w:p>
    <w:p>
      <w:pPr>
        <w:pStyle w:val="BodyText"/>
      </w:pPr>
      <w:r>
        <w:t xml:space="preserve">&lt; br/ &gt; Brain drain has affected the availability of specialized skills in Russia Saint Petersburg. Investing in internal training programs and competitive local compensation packages is essential.</w:t>
      </w:r>
    </w:p>
    <w:p>
      <w:pPr>
        <w:pStyle w:val="BodyText"/>
      </w:pPr>
      <w:r>
        <w:br/>
      </w:r>
    </w:p>
    <w:p>
      <w:pPr>
        <w:pStyle w:val="BodyText"/>
      </w:pPr>
      <w:r>
        <w:t xml:space="preserve">Developing a strong corporate culture and clear career progression paths within the Business Consultant firm</w:t>
      </w:r>
    </w:p>
    <w:bookmarkStart w:id="29" w:name="X15afb7a37338d4343d0a86cbceaf8ac9da60289"/>
    <w:p>
      <w:pPr>
        <w:pStyle w:val="Heading2"/>
      </w:pPr>
      <w:r>
        <w:t xml:space="preserve">5.0 Financial Projections and Resource Allocation</w:t>
      </w:r>
    </w:p>
    <w:p>
      <w:pPr>
        <w:pStyle w:val="FirstParagraph"/>
      </w:pPr>
      <w:r>
        <w:t xml:space="preserve">The financial viability of this</w:t>
      </w:r>
      <w:r>
        <w:t xml:space="preserve"> </w:t>
      </w:r>
      <w:r>
        <w:rPr>
          <w:bCs/>
          <w:b/>
        </w:rPr>
        <w:t xml:space="preserve">Business Consultant</w:t>
      </w:r>
      <w:r>
        <w:br/>
      </w:r>
      <w:r>
        <w:t xml:space="preserve">venture in</w:t>
      </w:r>
      <w:r>
        <w:t xml:space="preserve"> </w:t>
      </w:r>
      <w:r>
        <w:rPr>
          <w:bCs/>
          <w:b/>
        </w:rPr>
        <w:t xml:space="preserve">Russia Saint Petersburg</w:t>
      </w:r>
      <w:r>
        <w:br/>
      </w:r>
    </w:p>
    <w:p>
      <w:pPr>
        <w:pStyle w:val="BodyText"/>
      </w:pPr>
      <w:r>
        <w:t xml:space="preserve">Revenue streams are projected to stabilize within the first 18 months as the firm builds a reputation within the Saint Petersburg business community. The emphasis on specialized knowledge in compliance and digital transformation provides a competitive edge, allowing for premium pricing structures compared to generalist consulting firms.</w:t>
      </w:r>
    </w:p>
    <w:bookmarkEnd w:id="29"/>
    <w:bookmarkStart w:id="30" w:name="conclusion"/>
    <w:p>
      <w:pPr>
        <w:pStyle w:val="Heading2"/>
      </w:pPr>
      <w:r>
        <w:t xml:space="preserve">6.0 Conclusion</w:t>
      </w:r>
    </w:p>
    <w:p>
      <w:pPr>
        <w:pStyle w:val="FirstParagraph"/>
      </w:pPr>
      <w:r>
        <w:t xml:space="preserve">In conclusion, this Lab Report demonstrates that establishing a</w:t>
      </w:r>
      <w:r>
        <w:t xml:space="preserve"> </w:t>
      </w:r>
      <w:r>
        <w:rPr>
          <w:bCs/>
          <w:b/>
        </w:rPr>
        <w:t xml:space="preserve">Business Consultant</w:t>
      </w:r>
      <w:r>
        <w:br/>
      </w:r>
      <w:r>
        <w:t xml:space="preserve">practice in</w:t>
      </w:r>
      <w:r>
        <w:t xml:space="preserve"> </w:t>
      </w:r>
      <w:r>
        <w:rPr>
          <w:bCs/>
          <w:b/>
        </w:rPr>
        <w:t xml:space="preserve">Russia Saint Petersburg</w:t>
      </w:r>
      <w:r>
        <w:br/>
      </w:r>
    </w:p>
    <w:p>
      <w:pPr>
        <w:pStyle w:val="BodyText"/>
      </w:pPr>
      <w:r>
        <w:t xml:space="preserve">The success of this initiative depends on the ability to navigate regulatory challenges while delivering tangible value to clients. By adhering to the strategic frameworks outlined in this report, stakeholders can ensure that their consulting operations are resilient, compliant, and poised for growth. The role of the</w:t>
      </w:r>
      <w:r>
        <w:t xml:space="preserve"> </w:t>
      </w:r>
      <w:r>
        <w:rPr>
          <w:bCs/>
          <w:b/>
        </w:rPr>
        <w:t xml:space="preserve">Business Consultant</w:t>
      </w:r>
      <w:r>
        <w:br/>
      </w:r>
      <w:r>
        <w:t xml:space="preserve">in</w:t>
      </w:r>
    </w:p>
    <w:p>
      <w:pPr>
        <w:pStyle w:val="BodyText"/>
      </w:pPr>
      <w:r>
        <w:t xml:space="preserve">Russia Saint Petersburg</w:t>
      </w:r>
      <w:r>
        <w:br/>
      </w:r>
      <w:r>
        <w:t xml:space="preserve">is not merely advisory but instrumental in shaping the future business landscape of one of Russia's most dynamic cities.</w:t>
      </w:r>
    </w:p>
    <w:bookmarkEnd w:id="30"/>
    <w:bookmarkStart w:id="31" w:name="recommendations-for-next-steps"/>
    <w:p>
      <w:pPr>
        <w:pStyle w:val="Heading2"/>
      </w:pPr>
      <w:r>
        <w:t xml:space="preserve">7.0 Recommendations for Next Steps</w:t>
      </w:r>
    </w:p>
    <w:p>
      <w:pPr>
        <w:numPr>
          <w:ilvl w:val="0"/>
          <w:numId w:val="1002"/>
        </w:numPr>
        <w:pStyle w:val="Compact"/>
      </w:pPr>
      <w:r>
        <w:rPr>
          <w:bCs/>
          <w:b/>
        </w:rPr>
        <w:t xml:space="preserve">Legal Structuring:</w:t>
      </w:r>
      <w:r>
        <w:br/>
      </w:r>
      <w:r>
        <w:t xml:space="preserve">Immediately engage local counsel to finalize the legal entity structure in</w:t>
      </w:r>
    </w:p>
    <w:p>
      <w:pPr>
        <w:numPr>
          <w:ilvl w:val="0"/>
          <w:numId w:val="1000"/>
        </w:numPr>
        <w:pStyle w:val="Compact"/>
      </w:pPr>
      <w:r>
        <w:t xml:space="preserve">Russia Saint Petersburg</w:t>
      </w:r>
      <w:r>
        <w:br/>
      </w:r>
      <w:r>
        <w:t xml:space="preserve">.</w:t>
      </w:r>
    </w:p>
    <w:p>
      <w:pPr>
        <w:numPr>
          <w:ilvl w:val="0"/>
          <w:numId w:val="1002"/>
        </w:numPr>
        <w:pStyle w:val="Compact"/>
      </w:pPr>
      <w:r>
        <w:rPr>
          <w:iCs/>
          <w:i/>
        </w:rPr>
        <w:t xml:space="preserve">Talent Acquisition:</w:t>
      </w:r>
      <w:r>
        <w:t xml:space="preserve"> </w:t>
      </w:r>
      <w:r>
        <w:t xml:space="preserve">Begin recruitment of senior consultants with specific experience in the region.</w:t>
      </w:r>
      <w:r>
        <w:br/>
      </w:r>
      <w:r>
        <w:br/>
      </w:r>
    </w:p>
    <w:p>
      <w:pPr>
        <w:numPr>
          <w:ilvl w:val="0"/>
          <w:numId w:val="1002"/>
        </w:numPr>
        <w:pStyle w:val="Compact"/>
      </w:pPr>
      <w:r>
        <w:rPr>
          <w:bCs/>
          <w:b/>
        </w:rPr>
        <w:t xml:space="preserve">Market Validation:</w:t>
      </w:r>
      <w:r>
        <w:br/>
      </w:r>
      <w:r>
        <w:t xml:space="preserve">Conduct initial interviews with potential clients to validate service offerings and pricing models.</w:t>
      </w:r>
    </w:p>
    <w:p>
      <w:pPr>
        <w:pStyle w:val="FirstParagraph"/>
      </w:pPr>
      <w:r>
        <w:t xml:space="preserve">This Lab Report serves as the foundational document for all subsequent strategic actions. Further detailed analysis will be provided upon request regarding specific industry verticals within the Saint Petersburg market.</w:t>
      </w:r>
    </w:p>
    <w:bookmarkEnd w:id="31"/>
    <w:bookmarkStart w:id="32" w:name="appendices"/>
    <w:p>
      <w:pPr>
        <w:pStyle w:val="Heading2"/>
      </w:pPr>
      <w:r>
        <w:t xml:space="preserve">8.0 Appendices</w:t>
      </w:r>
    </w:p>
    <w:p>
      <w:pPr>
        <w:pStyle w:val="FirstParagraph"/>
      </w:pPr>
      <w:r>
        <w:br/>
      </w:r>
    </w:p>
    <w:p>
      <w:pPr>
        <w:pStyle w:val="BodyText"/>
      </w:pPr>
      <w:r>
        <w:rPr>
          <w:iCs/>
          <w:i/>
        </w:rPr>
        <w:t xml:space="preserve">Note: Detailed financial models, legal templates, and competitor analysis matrices are available upon request for review by the executive committee. These appendices provide granular data supporting the assertions made in the main body of this report regarding Business Consultant operations in Russia Saint Petersburg.</w:t>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Strategy for Russia Saint Petersburg</dc:title>
  <dc:creator/>
  <dc:language>en</dc:language>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