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Riyadh</w:t>
      </w:r>
    </w:p>
    <w:bookmarkStart w:id="35" w:name="Xe737729b8d3e3fdc4b1fb013a99c19fe01432d3"/>
    <w:p>
      <w:pPr>
        <w:pStyle w:val="Heading1"/>
      </w:pPr>
      <w:r>
        <w:t xml:space="preserve">Lab Report: Strategic Business Consulting Implementation in Saudi Arabia Riyadh</w:t>
      </w:r>
    </w:p>
    <w:bookmarkStart w:id="20" w:name="X940fa9727bb70167100300ff712753ad7040cdb"/>
    <w:p>
      <w:pPr>
        <w:pStyle w:val="Heading4"/>
      </w:pPr>
      <w:r>
        <w:rPr>
          <w:bCs/>
          <w:b/>
        </w:rPr>
        <w:t xml:space="preserve">Date:</w:t>
      </w:r>
      <w:r>
        <w:t xml:space="preserve"> </w:t>
      </w:r>
      <w:r>
        <w:t xml:space="preserve">May 24, 2024 |</w:t>
      </w:r>
      <w:r>
        <w:t xml:space="preserve"> </w:t>
      </w:r>
      <w:r>
        <w:rPr>
          <w:bCs/>
          <w:b/>
        </w:rPr>
        <w:t xml:space="preserve">Status:</w:t>
      </w:r>
      <w:r>
        <w:t xml:space="preserve"> </w:t>
      </w:r>
      <w:r>
        <w:t xml:space="preserve">Final Draft |</w:t>
      </w:r>
      <w:r>
        <w:t xml:space="preserve"> </w:t>
      </w:r>
      <w:r>
        <w:rPr>
          <w:bCs/>
          <w:b/>
        </w:rPr>
        <w:t xml:space="preserve">Jurisdiction:</w:t>
      </w:r>
      <w:r>
        <w:t xml:space="preserve">KSA Regulatory Framework</w:t>
      </w:r>
    </w:p>
    <w:p>
      <w:r>
        <w:pict>
          <v:rect style="width:0;height:1.5pt" o:hralign="center" o:hrstd="t" o:hr="t"/>
        </w:pict>
      </w:r>
    </w:p>
    <w:bookmarkEnd w:id="20"/>
    <w:bookmarkStart w:id="21" w:name="executive-summary"/>
    <w:p>
      <w:pPr>
        <w:pStyle w:val="Heading2"/>
      </w:pPr>
      <w:r>
        <w:t xml:space="preserve">1.0 Executive Summary</w:t>
      </w:r>
    </w:p>
    <w:p>
      <w:pPr>
        <w:pStyle w:val="FirstParagraph"/>
      </w:pPr>
      <w:r>
        <w:t xml:space="preserve">The objective of this laboratory report is to analyze the efficacy, regulatory compliance, and market impact of engaging a professional Business Consultant within the dynamic economic landscape of Saudi Arabia Riyadh. As Vision 2030 accelerates its implementation phases, the Kingdom has witnessed a paradigm shift from an oil-dependent economy to a diversified global hub. This report investigates how specialized business consulting services serve as the critical mechanism for navigating this transition.</w:t>
      </w:r>
    </w:p>
    <w:p>
      <w:pPr>
        <w:pStyle w:val="BodyText"/>
      </w:pPr>
      <w:r>
        <w:t xml:space="preserve">The findings indicate that Business Consultant interventions in Saudi Arabia Riyadh are not merely advisory but operational necessities for compliance with local labor laws (Saudization/Nitaqat), tax regulations (ZATCA), and international trade standards. This document outlines the methodology, data analysis, and strategic recommendations for entities operating within or entering the Riyadh market.</w:t>
      </w:r>
    </w:p>
    <w:bookmarkEnd w:id="21"/>
    <w:bookmarkStart w:id="22" w:name="introduction"/>
    <w:p>
      <w:pPr>
        <w:pStyle w:val="Heading2"/>
      </w:pPr>
      <w:r>
        <w:t xml:space="preserve">2.0 Introduction</w:t>
      </w:r>
    </w:p>
    <w:p>
      <w:pPr>
        <w:pStyle w:val="FirstParagraph"/>
      </w:pPr>
      <w:r>
        <w:t xml:space="preserve">Riyadh has established itself as the capital of business innovation in the Middle East. The establishment of major hubs such as NEOM (though located differently, its operational governance impacts Riyadh), the expansion of KAEC (King Abdullah Economic City logistics linked to Riyadh), and the booming service sector have created a complex web of regulatory requirements. For multinational corporations and local SMEs alike, understanding these nuances is paramount.</w:t>
      </w:r>
    </w:p>
    <w:p>
      <w:pPr>
        <w:pStyle w:val="BodyText"/>
      </w:pPr>
      <w:r>
        <w:t xml:space="preserve">The role of a Business Consultant in this context extends beyond traditional strategy formulation. It involves deep integration into the local cultural fabric, legal frameworks specific to Saudi Arabia Riyadh, and technological adoption mandates. This report seeks to validate the hypothesis that structured consultancy leads to a 40% reduction in regulatory friction and a 25% increase in operational speed-to-market within the first twelve months of implementation.</w:t>
      </w:r>
    </w:p>
    <w:bookmarkEnd w:id="22"/>
    <w:bookmarkStart w:id="25" w:name="methodology"/>
    <w:p>
      <w:pPr>
        <w:pStyle w:val="Heading2"/>
      </w:pPr>
      <w:r>
        <w:t xml:space="preserve">3.0 Methodology</w:t>
      </w:r>
    </w:p>
    <w:p>
      <w:pPr>
        <w:pStyle w:val="FirstParagraph"/>
      </w:pPr>
      <w:r>
        <w:t xml:space="preserve">To ensure the robustness of this Lab Report, a mixed-methods approach was utilized, combining quantitative market data with qualitative stakeholder interviews. The study period covers fiscal years 2021–2023 to capture post-Vision 2030 reforms.</w:t>
      </w:r>
    </w:p>
    <w:bookmarkStart w:id="23" w:name="data-collection"/>
    <w:p>
      <w:pPr>
        <w:pStyle w:val="Heading3"/>
      </w:pPr>
      <w:r>
        <w:t xml:space="preserve">3.1 Data Collection</w:t>
      </w:r>
    </w:p>
    <w:p>
      <w:pPr>
        <w:numPr>
          <w:ilvl w:val="0"/>
          <w:numId w:val="1001"/>
        </w:numPr>
        <w:pStyle w:val="Compact"/>
      </w:pPr>
      <w:r>
        <w:rPr>
          <w:bCs/>
          <w:b/>
        </w:rPr>
        <w:t xml:space="preserve">Case Studies:</w:t>
      </w:r>
      <w:r>
        <w:t xml:space="preserve"> </w:t>
      </w:r>
      <w:r>
        <w:t xml:space="preserve">Analysis of five mid-sized enterprises that engaged Business Consultant services in Saudi Arabia Riyadh for market entry and compliance restructuring.</w:t>
      </w:r>
    </w:p>
    <w:p>
      <w:pPr>
        <w:numPr>
          <w:ilvl w:val="0"/>
          <w:numId w:val="1001"/>
        </w:numPr>
        <w:pStyle w:val="Compact"/>
      </w:pPr>
      <w:r>
        <w:rPr>
          <w:bCs/>
          <w:b/>
        </w:rPr>
        <w:t xml:space="preserve">Semi-Structured Interviews:</w:t>
      </w:r>
      <w:r>
        <w:t xml:space="preserve"> </w:t>
      </w:r>
      <w:r>
        <w:t xml:space="preserve">Conducted with 15 senior consultants specializing in Gulf Cooperation Council (GCC) markets, focusing on pain points related to Saudization and digital transformation.</w:t>
      </w:r>
    </w:p>
    <w:p>
      <w:pPr>
        <w:numPr>
          <w:ilvl w:val="0"/>
          <w:numId w:val="1001"/>
        </w:numPr>
        <w:pStyle w:val="Compact"/>
      </w:pPr>
      <w:r>
        <w:rPr>
          <w:bCs/>
          <w:b/>
        </w:rPr>
        <w:t xml:space="preserve">Regulatory Review:</w:t>
      </w:r>
      <w:r>
        <w:t xml:space="preserve"> </w:t>
      </w:r>
      <w:r>
        <w:t xml:space="preserve">Comparative analysis of pre-2020 and post-2023 business laws in Riyadh to measure the impact of consultancy-driven compliance.</w:t>
      </w:r>
    </w:p>
    <w:bookmarkEnd w:id="23"/>
    <w:bookmarkStart w:id="24" w:name="variables"/>
    <w:p>
      <w:pPr>
        <w:pStyle w:val="Heading3"/>
      </w:pPr>
      <w:r>
        <w:t xml:space="preserve">3.2 Variables</w:t>
      </w:r>
    </w:p>
    <w:p>
      <w:pPr>
        <w:pStyle w:val="FirstParagraph"/>
      </w:pPr>
      <w:r>
        <w:t xml:space="preserve">The independent variable was the level of engagement with a Business Consultant (High vs. Low). The dependent variables included regulatory penalty incidence, time-to-licensing, and employee retention rates specifically regarding expatriate staffing ratios.</w:t>
      </w:r>
    </w:p>
    <w:bookmarkEnd w:id="24"/>
    <w:bookmarkEnd w:id="25"/>
    <w:bookmarkStart w:id="29" w:name="results-and-analysis"/>
    <w:p>
      <w:pPr>
        <w:pStyle w:val="Heading2"/>
      </w:pPr>
      <w:r>
        <w:t xml:space="preserve">4.0 Results and Analysis</w:t>
      </w:r>
    </w:p>
    <w:p>
      <w:pPr>
        <w:pStyle w:val="FirstParagraph"/>
      </w:pPr>
      <w:r>
        <w:t xml:space="preserve">The data collected highlights a significant correlation between proactive Business Consultant engagement in Saudi Arabia Riyadh and successful business integration.</w:t>
      </w:r>
    </w:p>
    <w:bookmarkStart w:id="26" w:name="X91d4d671f6c99abc6ea894a1863e6db1bebe6b3"/>
    <w:p>
      <w:pPr>
        <w:pStyle w:val="Heading3"/>
      </w:pPr>
      <w:r>
        <w:t xml:space="preserve">4.1 Regulatory Compliance and Saudization (Nitaqat)</w:t>
      </w:r>
    </w:p>
    <w:p>
      <w:pPr>
        <w:pStyle w:val="FirstParagraph"/>
      </w:pPr>
      <w:r>
        <w:t xml:space="preserve">Saudization, the policy mandating the employment of Saudi nationals in private sector roles, remains the most significant operational hurdle for foreign entities. The analysis reveals that companies utilizing a specialized Business Consultant achieved 98% compliance with Nitaqat standards, compared to only 65% among those attempting self-management. Consultants provided critical insights into categorizing jobs eligible for Saudi nationals versus those requiring expatriate visas, thereby avoiding substantial fines and service blockades.</w:t>
      </w:r>
    </w:p>
    <w:bookmarkEnd w:id="26"/>
    <w:bookmarkStart w:id="27" w:name="X02a09069c66678c741c614c3c04b582e074be0a"/>
    <w:p>
      <w:pPr>
        <w:pStyle w:val="Heading3"/>
      </w:pPr>
      <w:r>
        <w:t xml:space="preserve">4.2 Digital Transformation and ZATCA Compliance</w:t>
      </w:r>
    </w:p>
    <w:p>
      <w:pPr>
        <w:pStyle w:val="FirstParagraph"/>
      </w:pPr>
      <w:r>
        <w:t xml:space="preserve">The Zakat, Tax and Customs Authority (ZATCA) has implemented mandatory e-invoicing phases across Saudi Arabia. The Lab Report data shows that businesses without a dedicated Business Consultant faced an average of 14 days in operational downtime due to non-compliance errors during the Phase 2 rollout. In contrast, consultants integrated compliant ERP systems pre-emptively, ensuring zero downtime for their clients.</w:t>
      </w:r>
    </w:p>
    <w:bookmarkEnd w:id="27"/>
    <w:bookmarkStart w:id="28" w:name="market-entry-speed"/>
    <w:p>
      <w:pPr>
        <w:pStyle w:val="Heading3"/>
      </w:pPr>
      <w:r>
        <w:t xml:space="preserve">4.3 Market Entry Speed</w:t>
      </w:r>
    </w:p>
    <w:p>
      <w:pPr>
        <w:pStyle w:val="FirstParagraph"/>
      </w:pPr>
      <w:r>
        <w:t xml:space="preserve">Riyadh has streamlined many licensing processes through the Ministry of Investment (MISA). However, nuances in sector-specific approvals (such as healthcare or education) remain complex. Entities with Business Consultant support reduced their average market entry time from 6 months to 2.5 months.</w:t>
      </w:r>
    </w:p>
    <w:p>
      <w:pPr>
        <w:pStyle w:val="BodyText"/>
      </w:pPr>
      <w:r>
        <w:t xml:space="preserve">Metric</w:t>
      </w:r>
    </w:p>
    <w:p>
      <w:pPr>
        <w:pStyle w:val="BodyText"/>
      </w:pPr>
      <w:r>
        <w:t xml:space="preserve">No Consultant</w:t>
      </w:r>
    </w:p>
    <w:p>
      <w:pPr>
        <w:pStyle w:val="BodyText"/>
      </w:pPr>
      <w:r>
        <w:rPr>
          <w:iCs/>
          <w:i/>
          <w:bCs/>
          <w:b/>
        </w:rPr>
        <w:t xml:space="preserve">Saudi Arabia Riyadh Business Consultant</w:t>
      </w:r>
    </w:p>
    <w:p>
      <w:pPr>
        <w:pStyle w:val="BodyText"/>
      </w:pPr>
      <w:r>
        <w:t xml:space="preserve">% Improvement}</w:t>
      </w:r>
    </w:p>
    <w:p>
      <w:pPr>
        <w:pStyle w:val="BodyText"/>
      </w:pPr>
      <w:r>
        <w:t xml:space="preserve">{/thead}{tbody}&lt; tr &gt;&lt; td &gt; Regulatory Fines $ &lt; td &gt;$ 45,000 avg.</w:t>
      </w:r>
    </w:p>
    <w:p>
      <w:pPr>
        <w:pStyle w:val="BodyText"/>
      </w:pPr>
      <w:r>
        <w:t xml:space="preserve">$2,100 avg.</w:t>
      </w:r>
    </w:p>
    <w:p>
      <w:pPr>
        <w:pStyle w:val="BodyText"/>
      </w:pPr>
      <w:r>
        <w:t xml:space="preserve">95%</w:t>
      </w:r>
    </w:p>
    <w:p>
      <w:pPr>
        <w:pStyle w:val="BodyText"/>
      </w:pPr>
      <w:r>
        <w:t xml:space="preserve">&lt; tr &gt;&lt; td &gt; Time to License (Months)</w:t>
      </w:r>
    </w:p>
    <w:p>
      <w:pPr>
        <w:pStyle w:val="BodyText"/>
      </w:pPr>
      <w:r>
        <w:t xml:space="preserve">6.2</w:t>
      </w:r>
    </w:p>
    <w:p>
      <w:pPr>
        <w:pStyle w:val="BodyText"/>
      </w:pPr>
      <w:r>
        <w:t xml:space="preserve">2.8</w:t>
      </w:r>
    </w:p>
    <w:p>
      <w:pPr>
        <w:pStyle w:val="BodyText"/>
      </w:pPr>
      <w:r>
        <w:t xml:space="preserve">Td&gt;54%</w:t>
      </w:r>
    </w:p>
    <w:p>
      <w:pPr>
        <w:pStyle w:val="BodyText"/>
      </w:pPr>
      <w:r>
        <w:t xml:space="preserve">&lt; TD &gt; Employee Retention &lt; TD &gt; 72% &lt; TD &gt; 89%</w:t>
      </w:r>
    </w:p>
    <w:p>
      <w:pPr>
        <w:pStyle w:val="BodyText"/>
      </w:pPr>
      <w:r>
        <w:t xml:space="preserve">&gt;15%</w:t>
      </w:r>
    </w:p>
    <w:p>
      <w:pPr>
        <w:pStyle w:val="BodyText"/>
      </w:pPr>
      <w:r>
        <w:t xml:space="preserve">{/tbody}</w:t>
      </w:r>
    </w:p>
    <w:bookmarkEnd w:id="28"/>
    <w:bookmarkEnd w:id="29"/>
    <w:bookmarkStart w:id="32" w:name="discussion"/>
    <w:p>
      <w:pPr>
        <w:pStyle w:val="Heading2"/>
      </w:pPr>
      <w:r>
        <w:t xml:space="preserve">5.0 Discussion</w:t>
      </w:r>
    </w:p>
    <w:p>
      <w:pPr>
        <w:pStyle w:val="FirstParagraph"/>
      </w:pPr>
      <w:r>
        <w:t xml:space="preserve">The results underscore the critical necessity of a Business Consultant in Saudi Arabia Riyadh for navigating the hybrid nature of the market, which blends traditional tribal business practices with hyper-modern digital governance.</w:t>
      </w:r>
    </w:p>
    <w:bookmarkStart w:id="30" w:name="cultural-intelligence-as-a-kpi"/>
    <w:p>
      <w:pPr>
        <w:pStyle w:val="Heading3"/>
      </w:pPr>
      <w:r>
        <w:t xml:space="preserve">5.1 Cultural Intelligence as a KPI</w:t>
      </w:r>
    </w:p>
    <w:p>
      <w:pPr>
        <w:pStyle w:val="FirstParagraph"/>
      </w:pPr>
      <w:r>
        <w:t xml:space="preserve">A key finding is that "Cultural Intelligence" (CQ) provided by consultants is as valuable as legal knowledge. In Riyadh, business relationships are built on trust and personal connection (Wasta), although Wasta itself is being replaced by meritocratic networking facilitated through proper channels. Consultants act as cultural bridges, interpreting subtle social cues in negotiations which pure data analysis might miss.</w:t>
      </w:r>
    </w:p>
    <w:bookmarkEnd w:id="30"/>
    <w:bookmarkStart w:id="31" w:name="the-shift-from-advisory-to-execution"/>
    <w:p>
      <w:pPr>
        <w:pStyle w:val="Heading3"/>
      </w:pPr>
      <w:r>
        <w:t xml:space="preserve">5.2 The Shift from Advisory to Execution</w:t>
      </w:r>
    </w:p>
    <w:p>
      <w:pPr>
        <w:pStyle w:val="FirstParagraph"/>
      </w:pPr>
      <w:r>
        <w:t xml:space="preserve">The role of the Business Consultant has evolved. In previous decades, consultants provided high-level strategy decks. In current Saudi Arabia Riyadh context, consultants are often embedded in operations, managing HR restructuring and supply chain logistics directly. This operational shift is a response to the aggressive timelines set by Vision 2030.</w:t>
      </w:r>
    </w:p>
    <w:bookmarkEnd w:id="31"/>
    <w:bookmarkEnd w:id="32"/>
    <w:bookmarkStart w:id="33" w:name="conclusion"/>
    <w:p>
      <w:pPr>
        <w:pStyle w:val="Heading2"/>
      </w:pPr>
      <w:r>
        <w:t xml:space="preserve">6.0 Conclusion</w:t>
      </w:r>
    </w:p>
    <w:p>
      <w:pPr>
        <w:pStyle w:val="FirstParagraph"/>
      </w:pPr>
      <w:r>
        <w:t xml:space="preserve">This Lab Report definitively concludes that engaging a Business Consultant is a strategic imperative for any entity operating in or entering Saudi Arabia Riyadh. The complexity of the regulatory environment, driven by Vision 2030 reforms, creates an ecosystem where self-navigation poses significant financial and reputational risks.</w:t>
      </w:r>
    </w:p>
    <w:p>
      <w:pPr>
        <w:pStyle w:val="BodyText"/>
      </w:pPr>
      <w:r>
        <w:t xml:space="preserve">The data demonstrates that Business Consultants provide tangible ROI through risk mitigation (compliance), speed acceleration (licensing), and cultural alignment. For stakeholders in Saudi Arabia Riyadh, the recommendation is clear: prioritize consultants with localized expertise in Nitaqat, ZATCA e-invoicing, and cross-cultural negotiation. The future of business in Riyadh belongs to those who can navigate its rapid evolution efficiently, and the Business Consultant remains the most reliable navigator for this journey.</w:t>
      </w:r>
    </w:p>
    <w:bookmarkEnd w:id="33"/>
    <w:bookmarkStart w:id="34" w:name="recommendations"/>
    <w:p>
      <w:pPr>
        <w:pStyle w:val="Heading2"/>
      </w:pPr>
      <w:r>
        <w:t xml:space="preserve">7.0 Recommendations</w:t>
      </w:r>
    </w:p>
    <w:p>
      <w:pPr>
        <w:numPr>
          <w:ilvl w:val="0"/>
          <w:numId w:val="1002"/>
        </w:numPr>
        <w:pStyle w:val="Compact"/>
      </w:pPr>
      <w:r>
        <w:rPr>
          <w:bCs/>
          <w:b/>
        </w:rPr>
        <w:t xml:space="preserve">Hire Local Experts:</w:t>
      </w:r>
      <w:r>
        <w:t xml:space="preserve"> </w:t>
      </w:r>
      <w:r>
        <w:t xml:space="preserve">Ensure Business Consultants in Saudi Arabia Riyadh have established networks within the Ministry of Human Resources and Social Development.</w:t>
      </w:r>
    </w:p>
    <w:p>
      <w:pPr>
        <w:numPr>
          <w:ilvl w:val="0"/>
          <w:numId w:val="1002"/>
        </w:numPr>
        <w:pStyle w:val="Compact"/>
      </w:pPr>
      <w:r>
        <w:rPr>
          <w:bCs/>
          <w:b/>
        </w:rPr>
        <w:t xml:space="preserve">Digital First:</w:t>
      </w:r>
      <w:r>
        <w:t xml:space="preserve"> </w:t>
      </w:r>
      <w:r>
        <w:t xml:space="preserve">Mandate that consulting engagements include immediate ERP integration for tax compliance.</w:t>
      </w:r>
    </w:p>
    <w:p>
      <w:pPr>
        <w:numPr>
          <w:ilvl w:val="0"/>
          <w:numId w:val="1002"/>
        </w:numPr>
        <w:pStyle w:val="Compact"/>
      </w:pPr>
      <w:r>
        <w:t xml:space="preserve">Cultural Training:</w:t>
      </w:r>
    </w:p>
    <w:p>
      <w:pPr>
        <w:pStyle w:val="FirstParagraph"/>
      </w:pPr>
      <w:r>
        <w:rPr>
          <w:bCs/>
          <w:b/>
        </w:rPr>
        <w:t xml:space="preserve">Note:</w:t>
      </w:r>
      <w:r>
        <w:t xml:space="preserve">This document is a simulated Lab Report for educational and illustrative purposes regarding business consulting practices in Saudi Arabia Riyadh. It does not constitute legal or financial advice. Companies should consult with certified legal professionals for specific regulatory matters.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Consulting Implementation in Saudi Arabia Riyadh</dc:title>
  <dc:creator/>
  <dc:language>en</dc:language>
  <cp:keywords/>
  <dcterms:created xsi:type="dcterms:W3CDTF">2026-07-29T22:09:09Z</dcterms:created>
  <dcterms:modified xsi:type="dcterms:W3CDTF">2026-07-29T22:09:09Z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