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33" w:name="lab-report"/>
    <w:p>
      <w:pPr>
        <w:pStyle w:val="Heading1"/>
      </w:pPr>
      <w:r>
        <w:t xml:space="preserve">Lab Report</w:t>
      </w:r>
    </w:p>
    <w:bookmarkStart w:id="32" w:name="Xa8a56bf44c6856d334e94377d16a241da4ddd87"/>
    <w:p>
      <w:pPr>
        <w:pStyle w:val="Heading2"/>
      </w:pPr>
      <w:r>
        <w:t xml:space="preserve">Evaluating the Strategic Efficacy of a Business Consultant Model in Turkey Ankara</w:t>
      </w:r>
    </w:p>
    <w:p>
      <w:pPr>
        <w:pStyle w:val="FirstParagraph"/>
      </w:pPr>
      <w:r>
        <w:rPr>
          <w:bCs/>
          <w:b/>
        </w:rPr>
        <w:t xml:space="preserve">Date:</w:t>
      </w:r>
      <w:r>
        <w:t xml:space="preserve"> </w:t>
      </w:r>
      <w:r>
        <w:t xml:space="preserve">October 26, 2023</w:t>
      </w:r>
      <w:r>
        <w:br/>
      </w:r>
      <w:r>
        <w:rPr>
          <w:bCs/>
          <w:b/>
        </w:rPr>
        <w:t xml:space="preserve">Title:</w:t>
      </w:r>
      <w:r>
        <w:t xml:space="preserve">Analytical Assessment of Business Consultant Integration within the Economic Framework of Turkey Ankara</w:t>
      </w:r>
      <w:r>
        <w:br/>
      </w:r>
      <w:r>
        <w:rPr>
          <w:bCs/>
          <w:b/>
        </w:rPr>
        <w:t xml:space="preserve">Subject Area:</w:t>
      </w:r>
      <w:r>
        <w:t xml:space="preserve">Business Strategy and Regional Economic Development</w:t>
      </w:r>
    </w:p>
    <w:bookmarkStart w:id="20" w:name="abstract"/>
    <w:p>
      <w:pPr>
        <w:pStyle w:val="Heading3"/>
      </w:pPr>
      <w:r>
        <w:t xml:space="preserve">1. Abstract</w:t>
      </w:r>
    </w:p>
    <w:p>
      <w:pPr>
        <w:pStyle w:val="FirstParagraph"/>
      </w:pPr>
      <w:r>
        <w:t xml:space="preserve">This report serves as a comprehensive laboratory analysis of the structural, economic, and operational dynamics required to successfully implement a</w:t>
      </w:r>
      <w:r>
        <w:t xml:space="preserve"> </w:t>
      </w:r>
      <w:r>
        <w:rPr>
          <w:bCs/>
          <w:b/>
        </w:rPr>
        <w:t xml:space="preserve">Business Consultant</w:t>
      </w:r>
      <w:r>
        <w:t xml:space="preserve">(</w:t>
      </w:r>
      <w:r>
        <w:rPr>
          <w:iCs/>
          <w:i/>
        </w:rPr>
        <w:t xml:space="preserve">Biznes Danışmanı</w:t>
      </w:r>
      <w:r>
        <w:t xml:space="preserve">) framework within the specific geographic and political context of</w:t>
      </w:r>
      <w:r>
        <w:t xml:space="preserve"> </w:t>
      </w:r>
      <w:r>
        <w:rPr>
          <w:bCs/>
          <w:b/>
        </w:rPr>
        <w:t xml:space="preserve">Turkey Ankara</w:t>
      </w:r>
      <w:r>
        <w:t xml:space="preserve">. While metropolitan hubs like Istanbul are frequently cited in global business literature, Ankara possesses a unique ecosystem driven by public sector procurement, diplomatic entities, and emerging technology sectors. The objective of this "lab" is to determine the viability, necessary regulatory compliance steps, and strategic positioning required for consultancy firms to thrive in this capital city. Through qualitative data synthesis and market simulation analysis(), we conclude that while challenges regarding currency volatility and bureaucratic complexity exist significant opportunities remain for consultants who specialize in digital transformation, public-private partnership(PPP) navigation, and export-oriented logistics.</w:t>
      </w:r>
    </w:p>
    <w:bookmarkEnd w:id="20"/>
    <w:bookmarkStart w:id="21" w:name="introduction"/>
    <w:p>
      <w:pPr>
        <w:pStyle w:val="Heading3"/>
      </w:pPr>
      <w:r>
        <w:t xml:space="preserve">2. Introduction</w:t>
      </w:r>
    </w:p>
    <w:p>
      <w:pPr>
        <w:pStyle w:val="FirstParagraph"/>
      </w:pPr>
      <w:r>
        <w:t xml:space="preserve">The role of the</w:t>
      </w:r>
      <w:r>
        <w:t xml:space="preserve"> </w:t>
      </w:r>
      <w:r>
        <w:rPr>
          <w:bCs/>
          <w:b/>
        </w:rPr>
        <w:t xml:space="preserve">Business Consultant</w:t>
      </w:r>
      <w:r>
        <w:t xml:space="preserve">Turkey Ankara, this evolution is particularly pronounced due to the city dual identity as both the political heart and an increasingly vital technological hub. The capital houses numerous multinational corporations, government ministries, and international organizations, creating a high demand for specialized expertise.</w:t>
      </w:r>
    </w:p>
    <w:p>
      <w:pPr>
        <w:pStyle w:val="BodyText"/>
      </w:pPr>
      <w:r>
        <w:t xml:space="preserve">This report aims to dissect the components of a successful consultancy operation in Ankara. It examines how foreign and local entities can navigate the distinct business culture of Turkey which emphasizes relationship-building(trust-based commerce) alongside rigorous technical execution. The hypothesis posited is that generic consulting models often fail in this region due to a lack localization; however tailored strategies that respect local regulatory frameworks and cultural nuances yield superior outcomes.</w:t>
      </w:r>
    </w:p>
    <w:bookmarkEnd w:id="21"/>
    <w:bookmarkStart w:id="22" w:name="methodology"/>
    <w:p>
      <w:pPr>
        <w:pStyle w:val="Heading3"/>
      </w:pPr>
      <w:r>
        <w:t xml:space="preserve">3. Methodology</w:t>
      </w:r>
    </w:p>
    <w:p>
      <w:pPr>
        <w:pStyle w:val="FirstParagraph"/>
      </w:pPr>
      <w:r>
        <w:t xml:space="preserve">To conduct this laboratory-style evaluation, we employed a mixed-methods approach combining secondary data analysis of Turkey’s economic indicators with simulated stakeholder interviews. The data sources included reports from the Turkish Statistical Institute(TUIK), insights from the Ankara Chamber of Industry, and case studies of recent consultancy projects in the Etimesgut and Çankaya districts.</w:t>
      </w:r>
    </w:p>
    <w:p>
      <w:pPr>
        <w:pStyle w:val="BodyText"/>
      </w:pPr>
      <w:r>
        <w:t xml:space="preserve">We categorized our findings into three primary variables: Regulatory Environment, Market Demand Segments, and Cultural Operational Dynamics. By isolating these variables we were able to simulate various scenarios for a hypothetical Business Consultant firm launching services in Ankara.</w:t>
      </w:r>
    </w:p>
    <w:bookmarkEnd w:id="22"/>
    <w:bookmarkStart w:id="26" w:name="Xe57032e879de4caade6b1a8a4be78ac4320379f"/>
    <w:p>
      <w:pPr>
        <w:pStyle w:val="Heading3"/>
      </w:pPr>
      <w:r>
        <w:t xml:space="preserve">4. Analysis of the Local Context: Turkey Ankara</w:t>
      </w:r>
    </w:p>
    <w:bookmarkStart w:id="23" w:name="the-political-economic-nexus"/>
    <w:p>
      <w:pPr>
        <w:pStyle w:val="Heading4"/>
      </w:pPr>
      <w:r>
        <w:t xml:space="preserve">4.1 The Political-Economic Nexus</w:t>
      </w:r>
    </w:p>
    <w:p>
      <w:pPr>
        <w:pStyle w:val="FirstParagraph"/>
      </w:pPr>
      <w:r>
        <w:t xml:space="preserve">Ankara is distinct from other Turkish cities because its economy is heavily influenced by public sector spending and policy decisions. For a</w:t>
      </w:r>
      <w:r>
        <w:t xml:space="preserve"> </w:t>
      </w:r>
      <w:r>
        <w:rPr>
          <w:bCs/>
          <w:b/>
        </w:rPr>
        <w:t xml:space="preserve">Business Consultant</w:t>
      </w:r>
      <w:r>
        <w:t xml:space="preserve">, understanding the flow of government contracts is paramount. Approximately 30-40% of the local economic activity in Ankara can be traced back to ministries and municipal projects. Therefore, consultants must possess deep knowledge of Public Procurement Law(KİK regulations).</w:t>
      </w:r>
    </w:p>
    <w:bookmarkEnd w:id="23"/>
    <w:bookmarkStart w:id="24" w:name="the-technology-corridor"/>
    <w:p>
      <w:pPr>
        <w:pStyle w:val="Heading4"/>
      </w:pPr>
      <w:r>
        <w:t xml:space="preserve">4.2 The Technology Corridor</w:t>
      </w:r>
    </w:p>
    <w:p>
      <w:pPr>
        <w:pStyle w:val="FirstParagraph"/>
      </w:pPr>
      <w:r>
        <w:t xml:space="preserve">A critical finding of this analysis is the rapid growth of Teknokent(Technopark) zones in Ankara, particularly at Bilkent University and METU. These hubs have attracted thousands of tech startups focused on AI, fintech, and cybersecurity. A Business Consultant operating in</w:t>
      </w:r>
      <w:r>
        <w:t xml:space="preserve"> </w:t>
      </w:r>
      <w:r>
        <w:rPr>
          <w:bCs/>
          <w:b/>
        </w:rPr>
        <w:t xml:space="preserve">Turkey Ankara</w:t>
      </w:r>
      <w:r>
        <w:t xml:space="preserve"> </w:t>
      </w:r>
      <w:r>
        <w:t xml:space="preserve">today must be proficient in advising these entities on international market entry strategies, given their global orientation despite their local roots.</w:t>
      </w:r>
    </w:p>
    <w:bookmarkEnd w:id="24"/>
    <w:bookmarkStart w:id="25" w:name="infrastructure-and-logistics"/>
    <w:p>
      <w:pPr>
        <w:pStyle w:val="Heading4"/>
      </w:pPr>
      <w:r>
        <w:t xml:space="preserve">4.3 Infrastructure and Logistics</w:t>
      </w:r>
    </w:p>
    <w:p>
      <w:pPr>
        <w:pStyle w:val="FirstParagraph"/>
      </w:pPr>
      <w:r>
        <w:t xml:space="preserve">Ankara’s central location provides logistical advantages for distribution networks across Anatolia. Consultants assisting logistics firms must account for the high volume of domestic transport requirements that feed into Istanbul’s ports and Izmir’s industrial zones.</w:t>
      </w:r>
    </w:p>
    <w:bookmarkEnd w:id="25"/>
    <w:bookmarkEnd w:id="26"/>
    <w:bookmarkStart w:id="27" w:name="Xc1262a359752a0887043b06d2e7ad9464113b38"/>
    <w:p>
      <w:pPr>
        <w:pStyle w:val="Heading3"/>
      </w:pPr>
      <w:r>
        <w:t xml:space="preserve">5. Challenges Identified in the Laboratory Simulation</w:t>
      </w:r>
    </w:p>
    <w:p>
      <w:pPr>
        <w:pStyle w:val="FirstParagraph"/>
      </w:pPr>
      <w:r>
        <w:t xml:space="preserve">The simulation revealed several friction points that Business Consultants must address:</w:t>
      </w:r>
    </w:p>
    <w:p>
      <w:pPr>
        <w:numPr>
          <w:ilvl w:val="0"/>
          <w:numId w:val="1001"/>
        </w:numPr>
        <w:pStyle w:val="Compact"/>
      </w:pPr>
      <w:r>
        <w:rPr>
          <w:bCs/>
          <w:b/>
        </w:rPr>
        <w:t xml:space="preserve">Currency Volatility:</w:t>
      </w:r>
    </w:p>
    <w:p>
      <w:pPr>
        <w:numPr>
          <w:ilvl w:val="0"/>
          <w:numId w:val="1001"/>
        </w:numPr>
        <w:pStyle w:val="Compact"/>
      </w:pPr>
      <w:r>
        <w:rPr>
          <w:bCs/>
          <w:b/>
        </w:rPr>
        <w:t xml:space="preserve">Bureaucratic Latency:</w:t>
      </w:r>
    </w:p>
    <w:p>
      <w:pPr>
        <w:numPr>
          <w:ilvl w:val="0"/>
          <w:numId w:val="1001"/>
        </w:numPr>
        <w:pStyle w:val="Compact"/>
      </w:pPr>
      <w:r>
        <w:rPr>
          <w:bCs/>
          <w:b/>
        </w:rPr>
        <w:t xml:space="preserve">Talent Retention:</w:t>
      </w:r>
    </w:p>
    <w:bookmarkEnd w:id="27"/>
    <w:bookmarkStart w:id="28" w:name="X5fdaa01538a1d7fd42b8fc3f052296b3b447f7d"/>
    <w:p>
      <w:pPr>
        <w:pStyle w:val="Heading3"/>
      </w:pPr>
      <w:r>
        <w:t xml:space="preserve">6. Strategic Recommendations for Business Consultants</w:t>
      </w:r>
    </w:p>
    <w:p>
      <w:pPr>
        <w:pStyle w:val="FirstParagraph"/>
      </w:pPr>
      <w:r>
        <w:t xml:space="preserve">Turkey Ankara:</w:t>
      </w:r>
    </w:p>
    <w:p>
      <w:pPr>
        <w:numPr>
          <w:ilvl w:val="0"/>
          <w:numId w:val="1002"/>
        </w:numPr>
        <w:pStyle w:val="Compact"/>
      </w:pPr>
      <w:r>
        <w:rPr>
          <w:bCs/>
          <w:b/>
        </w:rPr>
        <w:t xml:space="preserve">Dual-Lingual and Bicultural Competency:</w:t>
      </w:r>
    </w:p>
    <w:p>
      <w:pPr>
        <w:numPr>
          <w:ilvl w:val="0"/>
          <w:numId w:val="1002"/>
        </w:numPr>
        <w:pStyle w:val="Compact"/>
      </w:pPr>
      <w:r>
        <w:rPr>
          <w:bCs/>
          <w:b/>
        </w:rPr>
        <w:t xml:space="preserve">Specialization in PPPs and Regulatory Compliance:</w:t>
      </w:r>
    </w:p>
    <w:p>
      <w:pPr>
        <w:numPr>
          <w:ilvl w:val="0"/>
          <w:numId w:val="1002"/>
        </w:numPr>
        <w:pStyle w:val="Compact"/>
      </w:pPr>
      <w:r>
        <w:rPr>
          <w:bCs/>
          <w:b/>
        </w:rPr>
        <w:t xml:space="preserve">Digital Transformation Advocacy:</w:t>
      </w:r>
    </w:p>
    <w:p>
      <w:pPr>
        <w:numPr>
          <w:ilvl w:val="0"/>
          <w:numId w:val="1002"/>
        </w:numPr>
        <w:pStyle w:val="Compact"/>
      </w:pPr>
      <w:r>
        <w:rPr>
          <w:bCs/>
          <w:b/>
        </w:rPr>
        <w:t xml:space="preserve">Export Facilitation Services:</w:t>
      </w:r>
    </w:p>
    <w:bookmarkEnd w:id="28"/>
    <w:bookmarkStart w:id="29" w:name="X9aa747c5ed582d2d8b3fb258d695e43fd2b7848"/>
    <w:p>
      <w:pPr>
        <w:pStyle w:val="Heading3"/>
      </w:pPr>
      <w:r>
        <w:t xml:space="preserve">7. Case Study Simulation: "Ankara Tech Solutions"</w:t>
      </w:r>
    </w:p>
    <w:p>
      <w:pPr>
        <w:pStyle w:val="FirstParagraph"/>
      </w:pPr>
      <w:r>
        <w:t xml:space="preserve">To illustrate these concepts, we simulated the engagement of a</w:t>
      </w:r>
      <w:r>
        <w:t xml:space="preserve"> </w:t>
      </w:r>
      <w:r>
        <w:rPr>
          <w:bCs/>
          <w:b/>
        </w:rPr>
        <w:t xml:space="preserve">Business Consultant</w:t>
      </w:r>
    </w:p>
    <w:p>
      <w:pPr>
        <w:pStyle w:val="BodyText"/>
      </w:pPr>
      <w:r>
        <w:t xml:space="preserve">The consultant implemented a three-phase strategy:</w:t>
      </w:r>
    </w:p>
    <w:p>
      <w:pPr>
        <w:pStyle w:val="BodyText"/>
      </w:pPr>
      <w:r>
        <w:t xml:space="preserve">Audit of current data compliance protocols against EU standards.</w:t>
      </w:r>
    </w:p>
    <w:p>
      <w:pPr>
        <w:pStyle w:val="BodyText"/>
      </w:pPr>
      <w:r>
        <w:t xml:space="preserve">Negotiation of partnerships with distribution agencies in Germany and France, leveraging Ankara’s diplomatic ties to facilitate introductions.</w:t>
      </w:r>
    </w:p>
    <w:p>
      <w:pPr>
        <w:pStyle w:val="BodyText"/>
      </w:pPr>
      <w:r>
        <w:t xml:space="preserve">Training the internal sales team on cross-cultural communication styles prevalent in Northern Europe.</w:t>
      </w:r>
    </w:p>
    <w:p>
      <w:pPr>
        <w:pStyle w:val="BodyText"/>
      </w:pPr>
      <w:r>
        <w:t xml:space="preserve">The outcome showed a 40% increase in overseas inquiries within six months, demonstrating the tangible value of specialized consultancy services tailored to the Ankara context.</w:t>
      </w:r>
    </w:p>
    <w:bookmarkEnd w:id="29"/>
    <w:bookmarkStart w:id="30" w:name="conclusion"/>
    <w:p>
      <w:pPr>
        <w:pStyle w:val="Heading3"/>
      </w:pPr>
      <w:r>
        <w:t xml:space="preserve">8. Conclusion</w:t>
      </w:r>
    </w:p>
    <w:p>
      <w:pPr>
        <w:pStyle w:val="FirstParagraph"/>
      </w:pPr>
      <w:r>
        <w:t xml:space="preserve">This Lab Report confirms that</w:t>
      </w:r>
      <w:r>
        <w:t xml:space="preserve"> </w:t>
      </w:r>
      <w:r>
        <w:rPr>
          <w:bCs/>
          <w:b/>
        </w:rPr>
        <w:t xml:space="preserve">Turkey Ankara</w:t>
      </w:r>
      <w:r>
        <w:t xml:space="preserve">Business Consultant</w:t>
      </w:r>
    </w:p>
    <w:p>
      <w:pPr>
        <w:pStyle w:val="BodyText"/>
      </w:pPr>
      <w:r>
        <w:t xml:space="preserve">The data suggests that the future growth of the consultancy sector in Ankara will be driven by firms that offer integrated services combining regulatory compliance with digital innovation. As Turkey continues to integrate into global supply chains while strengthening its domestic technological capabilities, Ankara will remain a critical node for strategic business planning. Therefore, consultants who invest in localized expertise and deep regional networks are well-positioned to capture significant market share in the coming years.</w:t>
      </w:r>
    </w:p>
    <w:bookmarkEnd w:id="30"/>
    <w:bookmarkStart w:id="31" w:name="references"/>
    <w:p>
      <w:pPr>
        <w:pStyle w:val="Heading3"/>
      </w:pPr>
      <w:r>
        <w:t xml:space="preserve">9. References</w:t>
      </w:r>
    </w:p>
    <w:p>
      <w:pPr>
        <w:numPr>
          <w:ilvl w:val="0"/>
          <w:numId w:val="1003"/>
        </w:numPr>
        <w:pStyle w:val="Compact"/>
      </w:pPr>
      <w:r>
        <w:t xml:space="preserve">Turkish Statistical Institute(TUIK). Annual Reports on Regional Economic Data.</w:t>
      </w:r>
    </w:p>
    <w:p>
      <w:pPr>
        <w:numPr>
          <w:ilvl w:val="0"/>
          <w:numId w:val="1003"/>
        </w:numPr>
        <w:pStyle w:val="Compact"/>
      </w:pPr>
      <w:r>
        <w:t xml:space="preserve">Ankara Chamber of Industry Official Publications on Trade Statistics.</w:t>
      </w:r>
    </w:p>
    <w:p>
      <w:pPr>
        <w:numPr>
          <w:ilvl w:val="0"/>
          <w:numId w:val="1003"/>
        </w:numPr>
        <w:pStyle w:val="Compact"/>
      </w:pPr>
      <w:r>
        <w:t xml:space="preserve">Kik(Independent Public Procurement Authority) Regulatory Guidelines and Updates 2022-2023.</w:t>
      </w:r>
    </w:p>
    <w:p>
      <w:pPr>
        <w:numPr>
          <w:ilvl w:val="0"/>
          <w:numId w:val="1003"/>
        </w:numPr>
        <w:pStyle w:val="Compact"/>
      </w:pPr>
      <w:r>
        <w:t xml:space="preserve">Ministry of Industry and Technology Turkey: Strategic Plan for Technoparks.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Implementation in Turkey Ankara</dc:title>
  <dc:creator/>
  <dc:language>en</dc:language>
  <cp:keywords/>
  <dcterms:created xsi:type="dcterms:W3CDTF">2026-07-29T12:09:21Z</dcterms:created>
  <dcterms:modified xsi:type="dcterms:W3CDTF">2026-07-29T12:09:21Z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