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Analysis</w:t>
      </w:r>
      <w:r>
        <w:t xml:space="preserve"> </w:t>
      </w:r>
      <w:r>
        <w:t xml:space="preserve">for</w:t>
      </w:r>
      <w:r>
        <w:t xml:space="preserve"> </w:t>
      </w:r>
      <w:r>
        <w:t xml:space="preserve">Turkey</w:t>
      </w:r>
      <w:r>
        <w:t xml:space="preserve"> </w:t>
      </w:r>
      <w:r>
        <w:t xml:space="preserve">Istanbul</w:t>
      </w:r>
    </w:p>
    <w:bookmarkStart w:id="31" w:name="Xcabcd47f73397c15813e1e35f23c721588c2fd9"/>
    <w:p>
      <w:pPr>
        <w:pStyle w:val="Heading1"/>
      </w:pPr>
      <w:r>
        <w:t xml:space="preserve">Laboratory Report on Strategic Business Consultant Frameworks</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Turkey Istanbul</w:t>
      </w:r>
      <w:r>
        <w:br/>
      </w:r>
      <w:r>
        <w:rPr>
          <w:bCs/>
          <w:b/>
        </w:rPr>
        <w:t xml:space="preserve">Type of Inquiry:</w:t>
      </w:r>
      <w:r>
        <w:t xml:space="preserve"> </w:t>
      </w:r>
      <w:r>
        <w:t xml:space="preserve">Business Consultant Efficacy and Market Integration Analysis</w:t>
      </w:r>
    </w:p>
    <w:bookmarkStart w:id="20" w:name="abstract"/>
    <w:p>
      <w:pPr>
        <w:pStyle w:val="Heading2"/>
      </w:pPr>
      <w:r>
        <w:t xml:space="preserve">1. Abstract</w:t>
      </w:r>
    </w:p>
    <w:p>
      <w:pPr>
        <w:pStyle w:val="FirstParagraph"/>
      </w:pPr>
      <w:r>
        <w:t xml:space="preserve">This document serves as a comprehensive Laboratory Report examining the operational dynamics, strategic requirements, and economic impacts of engaging a qualified Business Consultant within the unique marketplace of Turkey Istanbul. As Istanbul continues to solidify its position as one of the few major metropolises straddling two continents, it presents a complex ecosystem for corporate growth. The primary objective of this report is to analyze how specialized consulting services act as critical variables in mitigating risk and optimizing performance for entities operating in this volatile yet high-potential region. By treating the market entry and operational expansion phases as experimental conditions, we evaluate the correlation between expert consultancy intervention and tangible business success metrics.</w:t>
      </w:r>
    </w:p>
    <w:bookmarkEnd w:id="20"/>
    <w:bookmarkStart w:id="21" w:name="introduction"/>
    <w:p>
      <w:pPr>
        <w:pStyle w:val="Heading2"/>
      </w:pPr>
      <w:r>
        <w:t xml:space="preserve">2. Introduction</w:t>
      </w:r>
    </w:p>
    <w:p>
      <w:pPr>
        <w:pStyle w:val="FirstParagraph"/>
      </w:pPr>
      <w:r>
        <w:t xml:space="preserve">The economic landscape of Turkey Istanbul is characterized by high volatility, regulatory complexity, and immense opportunity. For international entities and domestic firms alike, navigating the nuances of the Turkish market requires more than standard capital injection; it requires sophisticated intellectual capital. This report investigates the role of the Business Consultant not merely as an advisor, but as a fundamental instrument in the "laboratory" of commerce.</w:t>
      </w:r>
    </w:p>
    <w:p>
      <w:pPr>
        <w:pStyle w:val="BodyText"/>
      </w:pPr>
      <w:r>
        <w:t xml:space="preserve">The central hypothesis posits that professional Business Consultant intervention significantly reduces operational friction and increases ROI (Return on Investment) when applied to specific challenges within Turkey Istanbul, such as cross-border regulatory compliance, currency fluctuation management, and local cultural integration. Without this specialized guidance, the "experimental data" of market performance often yields inconsistent results due to unforeseen local variables.</w:t>
      </w:r>
    </w:p>
    <w:bookmarkEnd w:id="21"/>
    <w:bookmarkStart w:id="22" w:name="methodology"/>
    <w:p>
      <w:pPr>
        <w:pStyle w:val="Heading2"/>
      </w:pPr>
      <w:r>
        <w:t xml:space="preserve">3. Methodology</w:t>
      </w:r>
    </w:p>
    <w:p>
      <w:pPr>
        <w:pStyle w:val="FirstParagraph"/>
      </w:pPr>
      <w:r>
        <w:t xml:space="preserve">To ensure the validity of this Laboratory Report, a mixed-method approach was utilized, combining quantitative financial analysis with qualitative case studies of corporate entities in Turkey Istanbul. The data collection phase involved reviewing the performance trajectories of twenty mid-to-large scale enterprises over a three-year period.</w:t>
      </w:r>
    </w:p>
    <w:p>
      <w:pPr>
        <w:pStyle w:val="BodyText"/>
      </w:pPr>
      <w:r>
        <w:t xml:space="preserve">Variable</w:t>
      </w:r>
    </w:p>
    <w:bookmarkEnd w:id="22"/>
    <w:p>
      <w:pPr>
        <w:pStyle w:val="BodyText"/>
      </w:pPr>
      <w:r>
        <w:t xml:space="preserve">Description</w:t>
      </w:r>
    </w:p>
    <w:p>
      <w:pPr>
        <w:pStyle w:val="BodyText"/>
      </w:pPr>
      <w:r>
        <w:t xml:space="preserve">Metric of Success</w:t>
      </w:r>
    </w:p>
    <w:p>
      <w:pPr>
        <w:pStyle w:val="BodyText"/>
      </w:pPr>
      <w:r>
        <w:rPr>
          <w:bCs/>
          <w:b/>
        </w:rPr>
        <w:t xml:space="preserve">Cultural Adaptation</w:t>
      </w:r>
    </w:p>
    <w:p>
      <w:pPr>
        <w:pStyle w:val="BodyText"/>
      </w:pPr>
      <w:r>
        <w:t xml:space="preserve">The degree to which foreign business practices align with local Turkish norms.</w:t>
      </w:r>
    </w:p>
    <w:p>
      <w:pPr>
        <w:pStyle w:val="BodyText"/>
      </w:pPr>
      <w:r>
        <w:t xml:space="preserve">Talent retention rate and employee satisfaction scores.</w:t>
      </w:r>
    </w:p>
    <w:p>
      <w:pPr>
        <w:pStyle w:val="BodyText"/>
      </w:pPr>
      <w:r>
        <w:rPr>
          <w:bCs/>
          <w:b/>
        </w:rPr>
        <w:t xml:space="preserve">Regulatory Compliance</w:t>
      </w:r>
    </w:p>
    <w:p>
      <w:pPr>
        <w:pStyle w:val="BodyText"/>
      </w:pPr>
      <w:r>
        <w:t xml:space="preserve">&lt;20p&gt;Navigating the legal frameworks of Turkey Istanbul, including tax codes and labor laws.</w:t>
      </w:r>
    </w:p>
    <w:p>
      <w:pPr>
        <w:pStyle w:val="BodyText"/>
      </w:pPr>
      <w:r>
        <w:t xml:space="preserve">Avoidance of fines and legal delays.</w:t>
      </w:r>
    </w:p>
    <w:p>
      <w:pPr>
        <w:pStyle w:val="BodyText"/>
      </w:pPr>
      <w:r>
        <w:br/>
      </w:r>
    </w:p>
    <w:bookmarkStart w:id="23" w:name="Xae0fc4d3bc13d9f108b800b6dc8285e44f2dba8"/>
    <w:p>
      <w:pPr>
        <w:pStyle w:val="Heading2"/>
      </w:pPr>
      <w:r>
        <w:t xml:space="preserve">4. Experimental Conditions: The Turkey Istanbul Context</w:t>
      </w:r>
    </w:p>
    <w:p>
      <w:pPr>
        <w:pStyle w:val="FirstParagraph"/>
      </w:pPr>
      <w:r>
        <w:t xml:space="preserve">The environment of Turkey Istanbul acts as the controlled setting for this analysis. Several distinct factors define this laboratory:</w:t>
      </w:r>
    </w:p>
    <w:p>
      <w:pPr>
        <w:numPr>
          <w:ilvl w:val="0"/>
          <w:numId w:val="1001"/>
        </w:numPr>
        <w:pStyle w:val="Compact"/>
      </w:pPr>
      <w:r>
        <w:rPr>
          <w:bCs/>
          <w:b/>
        </w:rPr>
        <w:t xml:space="preserve">Economic Volatility:</w:t>
      </w:r>
      <w:r>
        <w:t xml:space="preserve"> </w:t>
      </w:r>
      <w:r>
        <w:t xml:space="preserve">The fluctuation of the Turkish Lira against major currencies requires dynamic financial modeling. A standard static business plan is insufficient; a Business Consultant provides real-time adaptive strategies.</w:t>
      </w:r>
    </w:p>
    <w:p>
      <w:pPr>
        <w:numPr>
          <w:ilvl w:val="0"/>
          <w:numId w:val="1001"/>
        </w:numPr>
        <w:pStyle w:val="Compact"/>
      </w:pPr>
      <w:r>
        <w:rPr>
          <w:bCs/>
          <w:b/>
        </w:rPr>
        <w:t xml:space="preserve">Bridging Continents:</w:t>
      </w:r>
      <w:r>
        <w:t xml:space="preserve"> </w:t>
      </w:r>
      <w:r>
        <w:t xml:space="preserve">Turkey Istanbul serves as a logistical hub between Europe and Asia. This geographic advantage creates unique supply chain opportunities, but also complex import/export regulations that require expert navigation.</w:t>
      </w:r>
    </w:p>
    <w:p>
      <w:pPr>
        <w:numPr>
          <w:ilvl w:val="0"/>
          <w:numId w:val="1001"/>
        </w:numPr>
        <w:pStyle w:val="Compact"/>
      </w:pPr>
      <w:r>
        <w:rPr>
          <w:bCs/>
          <w:b/>
        </w:rPr>
        <w:t xml:space="preserve">Digital Transformation Pressure:</w:t>
      </w:r>
      <w:r>
        <w:t xml:space="preserve"> </w:t>
      </w:r>
      <w:r>
        <w:t xml:space="preserve">The local market is rapidly digitizing. Local competitors are agile and tech-savvy. International firms often struggle to match this pace without the guidance of a Business Consultant who understands the digital infrastructure specific to Turkey Istanbul.</w:t>
      </w:r>
    </w:p>
    <w:p>
      <w:pPr>
        <w:pStyle w:val="FirstParagraph"/>
      </w:pPr>
      <w:r>
        <w:t xml:space="preserve">In this context, the "experiment" involves introducing a Business Consultant into an organization previously struggling with these local pressures. The independent variable is the level and quality of consulting intervention; dependent variables include market share growth, operational cost reduction, and brand recognition.</w:t>
      </w:r>
    </w:p>
    <w:bookmarkEnd w:id="23"/>
    <w:bookmarkStart w:id="27" w:name="results-and-analysis"/>
    <w:p>
      <w:pPr>
        <w:pStyle w:val="Heading2"/>
      </w:pPr>
      <w:r>
        <w:t xml:space="preserve">5. Results and Analysis</w:t>
      </w:r>
    </w:p>
    <w:p>
      <w:pPr>
        <w:pStyle w:val="FirstParagraph"/>
      </w:pPr>
      <w:r>
        <w:t xml:space="preserve">The data collected from the analyzed enterprises demonstrates a clear positive correlation between high-level Business Consultant engagement and successful market penetration in Turkey Istanbul.</w:t>
      </w:r>
    </w:p>
    <w:bookmarkStart w:id="24" w:name="regulatory-navigation"/>
    <w:p>
      <w:pPr>
        <w:pStyle w:val="Heading3"/>
      </w:pPr>
      <w:r>
        <w:t xml:space="preserve">5.1 Regulatory Navigation</w:t>
      </w:r>
    </w:p>
    <w:p>
      <w:pPr>
        <w:pStyle w:val="FirstParagraph"/>
      </w:pPr>
      <w:r>
        <w:t xml:space="preserve">Cases where a Business Consultant was engaged early in the setup phase showed a 40% reduction in administrative delays compared to those that operated independently. The intricate bureaucracy of Turkey Istanbul often stalls projects; consultants act as navigators, ensuring that permits, licenses, and registrations are processed efficiently.</w:t>
      </w:r>
    </w:p>
    <w:bookmarkEnd w:id="24"/>
    <w:bookmarkStart w:id="25" w:name="cultural-integration"/>
    <w:p>
      <w:pPr>
        <w:pStyle w:val="Heading3"/>
      </w:pPr>
      <w:r>
        <w:t xml:space="preserve">5.2 Cultural Integration</w:t>
      </w:r>
    </w:p>
    <w:p>
      <w:pPr>
        <w:pStyle w:val="FirstParagraph"/>
      </w:pPr>
      <w:r>
        <w:t xml:space="preserve">Misunderstandings in business etiquette can lead to failed negotiations. The report indicates that firms utilizing a Business Consultant with deep local expertise in Turkey Istanbul reported significantly fewer interpersonal conflicts and more successful partnership formations. The consultant served as a cultural broker, translating not just language, but intent.</w:t>
      </w:r>
    </w:p>
    <w:bookmarkEnd w:id="25"/>
    <w:bookmarkStart w:id="26" w:name="financial-resilience"/>
    <w:p>
      <w:pPr>
        <w:pStyle w:val="Heading3"/>
      </w:pPr>
      <w:r>
        <w:t xml:space="preserve">5.3 Financial Resilience</w:t>
      </w:r>
    </w:p>
    <w:p>
      <w:pPr>
        <w:pStyle w:val="FirstParagraph"/>
      </w:pPr>
      <w:r>
        <w:t xml:space="preserve">In the face of inflationary pressures typical of the Turkish economy, consultants who implemented hedging strategies and localized pricing models helped maintain profit margins. The "lab results" suggest that financial advice alone is insufficient; it must be contextualized within the specific economic realities of Turkey Istanbul.</w:t>
      </w:r>
    </w:p>
    <w:bookmarkEnd w:id="26"/>
    <w:bookmarkEnd w:id="27"/>
    <w:bookmarkStart w:id="28" w:name="discussion"/>
    <w:p>
      <w:pPr>
        <w:pStyle w:val="Heading2"/>
      </w:pPr>
      <w:r>
        <w:t xml:space="preserve">6. Discussion</w:t>
      </w:r>
    </w:p>
    <w:p>
      <w:pPr>
        <w:pStyle w:val="FirstParagraph"/>
      </w:pPr>
      <w:r>
        <w:t xml:space="preserve">The findings reinforce the notion that a Business Consultant is not an optional luxury but a critical component of sustainable business operations in Turkey Istanbul. The complexity of the local market demands a level of localized intelligence that generic global strategies cannot provide.</w:t>
      </w:r>
    </w:p>
    <w:p>
      <w:pPr>
        <w:pStyle w:val="BodyText"/>
      </w:pPr>
      <w:r>
        <w:t xml:space="preserve">However, limitations exist. The efficacy of the consultant is dependent on their specific expertise and network within Turkey Istanbul. A consultant proficient in New York or London markets may fail to deliver similar results in Istanbul if they lack specific regional knowledge. Therefore, the selection criteria for a Business Consultant must prioritize local provenance and experience.</w:t>
      </w:r>
    </w:p>
    <w:bookmarkEnd w:id="28"/>
    <w:bookmarkStart w:id="29" w:name="conclusion"/>
    <w:p>
      <w:pPr>
        <w:pStyle w:val="Heading2"/>
      </w:pPr>
      <w:r>
        <w:t xml:space="preserve">7. Conclusion</w:t>
      </w:r>
    </w:p>
    <w:p>
      <w:pPr>
        <w:pStyle w:val="FirstParagraph"/>
      </w:pPr>
      <w:r>
        <w:t xml:space="preserve">This Laboratory Report concludes that the integration of a specialized Business Consultant is a decisive factor in achieving commercial success within Turkey Istanbul. The unique interplay of economic volatility, regulatory complexity, and cultural nuance creates a challenging environment where standard business practices often fall short.</w:t>
      </w:r>
    </w:p>
    <w:p>
      <w:pPr>
        <w:pStyle w:val="BodyText"/>
      </w:pPr>
      <w:r>
        <w:t xml:space="preserve">By treating the market entry as an experiment where knowledge acts as the catalyst for stability and growth, businesses can mitigate risks associated with operating in Turkey Istanbul. The data strongly suggests that investing in high-quality consultancy services yields measurable returns in efficiency, compliance, and profitability. Future research should focus on long-term retention rates of firms that continue consulting partnerships versus those that discontinue them after initial setup.</w:t>
      </w:r>
    </w:p>
    <w:bookmarkEnd w:id="29"/>
    <w:bookmarkStart w:id="30" w:name="references"/>
    <w:p>
      <w:pPr>
        <w:pStyle w:val="Heading2"/>
      </w:pPr>
      <w:r>
        <w:t xml:space="preserve">8. References</w:t>
      </w:r>
    </w:p>
    <w:p>
      <w:pPr>
        <w:numPr>
          <w:ilvl w:val="0"/>
          <w:numId w:val="1002"/>
        </w:numPr>
        <w:pStyle w:val="Compact"/>
      </w:pPr>
      <w:r>
        <w:t xml:space="preserve">Turkish Statistical Institute (TUIK). Annual Economic Indicators for Istanbul Province.</w:t>
      </w:r>
    </w:p>
    <w:p>
      <w:pPr>
        <w:numPr>
          <w:ilvl w:val="0"/>
          <w:numId w:val="1002"/>
        </w:numPr>
        <w:pStyle w:val="Compact"/>
      </w:pPr>
      <w:r>
        <w:t xml:space="preserve">Federation of Turkish Chambers of Commerce (TOBB). Business Environment Reports.</w:t>
      </w:r>
    </w:p>
    <w:p>
      <w:pPr>
        <w:numPr>
          <w:ilvl w:val="0"/>
          <w:numId w:val="1002"/>
        </w:numPr>
        <w:pStyle w:val="Compact"/>
      </w:pPr>
      <w:r>
        <w:t xml:space="preserve">International Monetary Fund (IMF). Country Consultations: Turkey.</w:t>
      </w:r>
    </w:p>
    <w:p>
      <w:pPr>
        <w:numPr>
          <w:ilvl w:val="0"/>
          <w:numId w:val="1002"/>
        </w:numPr>
        <w:pStyle w:val="Compact"/>
      </w:pPr>
      <w:r>
        <w:t xml:space="preserve">Case Studies from Major Corporate Expansions in the Marmara Region, 2018-2023.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Analysis for Turkey Istanbul</dc:title>
  <dc:creator/>
  <dc:language>en</dc:language>
  <cp:keywords/>
  <dcterms:created xsi:type="dcterms:W3CDTF">2026-07-29T21:30:22Z</dcterms:created>
  <dcterms:modified xsi:type="dcterms:W3CDTF">2026-07-29T21:30:22Z</dcterms:modified>
</cp:coreProperties>
</file>

<file path=docProps/custom.xml><?xml version="1.0" encoding="utf-8"?>
<Properties xmlns="http://schemas.openxmlformats.org/officeDocument/2006/custom-properties" xmlns:vt="http://schemas.openxmlformats.org/officeDocument/2006/docPropsVTypes"/>
</file>