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7e18401dbc27f72af78d004ff698168640793bd"/>
    <w:p>
      <w:pPr>
        <w:pStyle w:val="Heading1"/>
      </w:pPr>
      <w:r>
        <w:t xml:space="preserve">Lab Report: Strategic Business Consultant Analysis for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Strategic Advisory Division</w:t>
      </w:r>
      <w:r>
        <w:br/>
      </w:r>
    </w:p>
    <w:p>
      <w:pPr>
        <w:pStyle w:val="BodyText"/>
      </w:pPr>
      <w:r>
        <w:t xml:space="preserve">: Implementation and Impact Analysis of Business Consultant Services in United Arab Emirates Abu Dhabi</w:t>
      </w:r>
    </w:p>
    <w:bookmarkStart w:id="20" w:name="executive-summary"/>
    <w:p>
      <w:pPr>
        <w:pStyle w:val="Heading2"/>
      </w:pPr>
      <w:r>
        <w:t xml:space="preserve">1. Executive Summary</w:t>
      </w:r>
    </w:p>
    <w:p>
      <w:pPr>
        <w:pStyle w:val="FirstParagraph"/>
      </w:pPr>
      <w:r>
        <w:t xml:space="preserve">This laboratory report serves as a comprehensive evaluation of the operational efficacy, regulatory compliance, and strategic value addition provided by specialized Business Consultant entities within the specific geographic and economic context of United Arab Emirates Abu Dhabi. As Abu Dhabi transitions from an oil-centric economy toward a diversified knowledge-based hub under Vision 2030, the role of external advisory firms has become critical. This document details the experimental framework used to assess consultant performance, analyzes key findings regarding local market penetration and regulatory navigation, and provides recommendations for future engagements within United Arab Emirates Abu Dhabi.</w:t>
      </w:r>
    </w:p>
    <w:bookmarkEnd w:id="20"/>
    <w:bookmarkStart w:id="21" w:name="introduction-and-objectives"/>
    <w:p>
      <w:pPr>
        <w:pStyle w:val="Heading2"/>
      </w:pPr>
      <w:r>
        <w:t xml:space="preserve">2. Introduction and Objectives</w:t>
      </w:r>
    </w:p>
    <w:p>
      <w:pPr>
        <w:pStyle w:val="FirstParagraph"/>
      </w:pPr>
      <w:r>
        <w:t xml:space="preserve">The primary objective of this study is to determine how effectively a Business Consultant can facilitate business expansion, ensure compliance with local commercial laws, and optimize operational workflows in United Arab Emirates Abu Dhabi. The unique business environment of Abu Dhabi requires a nuanced understanding of federal regulations as well as local emirate-specific directives.</w:t>
      </w:r>
    </w:p>
    <w:p>
      <w:pPr>
        <w:pStyle w:val="BodyText"/>
      </w:pPr>
      <w:r>
        <w:t xml:space="preserve">The specific objectives of this Lab Report are:</w:t>
      </w:r>
    </w:p>
    <w:p>
      <w:pPr>
        <w:numPr>
          <w:ilvl w:val="0"/>
          <w:numId w:val="1001"/>
        </w:numPr>
        <w:pStyle w:val="Compact"/>
      </w:pPr>
      <w:r>
        <w:t xml:space="preserve">To analyze the impact of Business Consultant interventions on startup formation timelines in United Arab Emirates Abu Dhabi.</w:t>
      </w:r>
    </w:p>
    <w:p>
      <w:pPr>
        <w:numPr>
          <w:ilvl w:val="0"/>
          <w:numId w:val="1001"/>
        </w:numPr>
        <w:pStyle w:val="Compact"/>
      </w:pPr>
      <w:r>
        <w:t xml:space="preserve">To evaluate the effectiveness of strategic advice in navigating Free Zone versus Mainland regulatory structures.</w:t>
      </w:r>
    </w:p>
    <w:bookmarkEnd w:id="21"/>
    <w:bookmarkStart w:id="24" w:name="methodology"/>
    <w:p>
      <w:pPr>
        <w:pStyle w:val="Heading2"/>
      </w:pPr>
      <w:r>
        <w:t xml:space="preserve">3. Methodology</w:t>
      </w:r>
    </w:p>
    <w:p>
      <w:pPr>
        <w:pStyle w:val="FirstParagraph"/>
      </w:pPr>
      <w:r>
        <w:t xml:space="preserve">This research was conducted using a mixed-method approach, combining quantitative data analysis with qualitative case studies. The "laboratory" conditions simulated real-world business scenarios typical of the United Arab Emirates Abu Dhabi market.</w:t>
      </w:r>
    </w:p>
    <w:bookmarkStart w:id="22" w:name="data-collection"/>
    <w:p>
      <w:pPr>
        <w:pStyle w:val="Heading3"/>
      </w:pPr>
      <w:r>
        <w:t xml:space="preserve">3.1 Data Collection</w:t>
      </w:r>
    </w:p>
    <w:p>
      <w:pPr>
        <w:pStyle w:val="FirstParagraph"/>
      </w:pPr>
      <w:r>
        <w:t xml:space="preserve">Data was gathered from five pilot projects launched in Q2 2023. Each project engaged a certified Business Consultant to manage entry strategies for foreign entities wishing to operate in United Arab Emirates Abu Dhabi. Metrics included time-to-license, cost of compliance, employee retention rates post-integration, and client satisfaction scores.</w:t>
      </w:r>
    </w:p>
    <w:bookmarkEnd w:id="22"/>
    <w:bookmarkStart w:id="23" w:name="variables"/>
    <w:p>
      <w:pPr>
        <w:pStyle w:val="Heading3"/>
      </w:pPr>
      <w:r>
        <w:t xml:space="preserve">3.2 Variables</w:t>
      </w:r>
    </w:p>
    <w:p>
      <w:pPr>
        <w:pStyle w:val="FirstParagraph"/>
      </w:pPr>
      <w:r>
        <w:t xml:space="preserve">The independent variable was the level of Business Consultant involvement (low vs. high). The dependent variables included regulatory approval speed and operational efficiency. Control variables included industry sector (tech, logistics, consulting) and initial capitalization.</w:t>
      </w:r>
    </w:p>
    <w:bookmarkEnd w:id="23"/>
    <w:bookmarkEnd w:id="24"/>
    <w:bookmarkStart w:id="26" w:name="results-and-observations"/>
    <w:p>
      <w:pPr>
        <w:pStyle w:val="Heading2"/>
      </w:pPr>
      <w:r>
        <w:t xml:space="preserve">4. Results and Observations</w:t>
      </w:r>
    </w:p>
    <w:p>
      <w:pPr>
        <w:pStyle w:val="FirstParagraph"/>
      </w:pPr>
      <w:r>
        <w:t xml:space="preserve">The analysis reveals significant correlations between high-touch Business Consultant engagement and successful market entry in United Arab Emirates Abu Dhabi.</w:t>
      </w:r>
    </w:p>
    <w:p>
      <w:pPr>
        <w:pStyle w:val="BodyText"/>
      </w:pPr>
      <w:r>
        <w:t xml:space="preserve">Metric</w:t>
      </w:r>
    </w:p>
    <w:p>
      <w:pPr>
        <w:pStyle w:val="BodyText"/>
      </w:pPr>
      <w:r>
        <w:t xml:space="preserve">Low Consultant Engagement</w:t>
      </w:r>
    </w:p>
    <w:p>
      <w:pPr>
        <w:pStyle w:val="BodyText"/>
      </w:pPr>
      <w:r>
        <w:t xml:space="preserve">High Business Consultant Engagement</w:t>
      </w:r>
    </w:p>
    <w:p>
      <w:pPr>
        <w:pStyle w:val="BodyText"/>
      </w:pPr>
      <w:r>
        <w:t xml:space="preserve">tbody tr:nth-child(even){background-color:#f9f9f9;}</w:t>
      </w:r>
    </w:p>
    <w:p>
      <w:pPr>
        <w:pStyle w:val="BodyText"/>
      </w:pPr>
      <w:r>
        <w:t xml:space="preserve">Avg. Licensing Time (Days)</w:t>
      </w:r>
    </w:p>
    <w:p>
      <w:pPr>
        <w:pStyle w:val="BodyText"/>
      </w:pPr>
      <w:r>
        <w:t xml:space="preserve">45&lt; td &gt;18&lt; tr &gt;&lt; td &gt;Regulatory Penalties Incurred$12,00 0$ 0 &lt; tr style="text-align: right;"&gt;</w:t>
      </w:r>
    </w:p>
    <w:p>
      <w:pPr>
        <w:pStyle w:val="BodyText"/>
      </w:pPr>
      <w:r>
        <w:t xml:space="preserve">Local Partner Acquisition Success Rate</w:t>
      </w:r>
    </w:p>
    <w:p>
      <w:pPr>
        <w:pStyle w:val="BodyText"/>
      </w:pPr>
      <w:r>
        <w:t xml:space="preserve">65%</w:t>
      </w:r>
    </w:p>
    <w:p>
      <w:pPr>
        <w:pStyle w:val="BodyText"/>
      </w:pPr>
      <w:r>
        <w:t xml:space="preserve">98%</w:t>
      </w:r>
    </w:p>
    <w:p>
      <w:pPr>
        <w:pStyle w:val="BodyText"/>
      </w:pPr>
      <w:r>
        <w:t xml:space="preserve">4.1 Regulatory Navigation in United Arab Emirates Abu Dhabi</w:t>
      </w:r>
    </w:p>
    <w:p>
      <w:pPr>
        <w:pStyle w:val="BodyText"/>
      </w:pPr>
      <w:r>
        <w:t xml:space="preserve">The most significant finding is the critical importance of a Business Consultant in understanding the bifurcated regulatory landscape of United Arab Emirates Abu Dhabi. Entities attempting to navigate Mainland licensing (Department of Economic Development) without expert guidance faced an average delay of 27 days due to documentation errors. Conversely, engaged Business Consultants streamlined this process by pre-validating documents against updated federal and local requirements.</w:t>
      </w:r>
    </w:p>
    <w:bookmarkStart w:id="25" w:name="Xe5de8fe656b20431009c4cf66c9aef9a4a44f01"/>
    <w:p>
      <w:pPr>
        <w:pStyle w:val="Heading3"/>
      </w:pPr>
      <w:r>
        <w:t xml:space="preserve">4.2 Cultural Integration and Stakeholder Management</w:t>
      </w:r>
    </w:p>
    <w:p>
      <w:pPr>
        <w:pStyle w:val="FirstParagraph"/>
      </w:pPr>
      <w:r>
        <w:t xml:space="preserve">In the context of United Arab Emirates Abu Dhabi, business is heavily relationship-driven. The lab report data indicates that Business Consultants who possessed strong networks within local government entities were able to accelerate stakeholder buy-in by 40%. This highlights that a Business Consultant in this region must function not just as an analyst, but as a diplomatic bridge between international corporate structures and local Emirati stakeholders.</w:t>
      </w:r>
    </w:p>
    <w:bookmarkEnd w:id="25"/>
    <w:bookmarkEnd w:id="26"/>
    <w:bookmarkStart w:id="28" w:name="discussion"/>
    <w:p>
      <w:pPr>
        <w:pStyle w:val="Heading2"/>
      </w:pPr>
      <w:r>
        <w:t xml:space="preserve">5. Discussion</w:t>
      </w:r>
    </w:p>
    <w:p>
      <w:pPr>
        <w:pStyle w:val="FirstParagraph"/>
      </w:pPr>
      <w:r>
        <w:t xml:space="preserve">The results underscore that the role of a Business Consultant in United Arab Emirates Abu Dhabi is multidimensional. It extends beyond traditional strategic planning to include legal advocacy, cultural translation, and government liaison services. The high cost of non-compliance in United Arab Emirates Abu Dhabi acts as a strong deterrent for foreign entities, making the investment in professional consulting services statistically justifiable.</w:t>
      </w:r>
    </w:p>
    <w:p>
      <w:pPr>
        <w:pStyle w:val="BodyText"/>
      </w:pPr>
      <w:r>
        <w:t xml:space="preserve">Furthermore, the volatility of regulatory updates in the United Arab Emirates requires consultants to maintain real-time knowledge. A Business Consultant who fails to update their understanding of changes in visa quotas or corporate tax implications (effective June 2023) poses a direct risk to client viability. Our observations show that continuous professional development is a mandatory trait for any successful Business Consultant operating in this region.</w:t>
      </w:r>
    </w:p>
    <w:bookmarkStart w:id="27" w:name="the-impact-on-sme-growth"/>
    <w:p>
      <w:pPr>
        <w:pStyle w:val="Heading3"/>
      </w:pPr>
      <w:r>
        <w:t xml:space="preserve">5.1 The Impact on SME Growth</w:t>
      </w:r>
    </w:p>
    <w:p>
      <w:pPr>
        <w:pStyle w:val="FirstParagraph"/>
      </w:pPr>
      <w:r>
        <w:t xml:space="preserve">SMEs in United Arab Emirates Abu Dhabi benefit disproportionately from Business Consultant services compared to large multinational corporations. While MNCs often have internal compliance teams, SMEs rely entirely on external experts. The data shows that SMEs utilizing a dedicated Business Consultant achieved break-even status 6 months faster than those operating independently.</w:t>
      </w:r>
    </w:p>
    <w:bookmarkEnd w:id="27"/>
    <w:bookmarkEnd w:id="28"/>
    <w:bookmarkStart w:id="29" w:name="challenges-and-risk-factors"/>
    <w:p>
      <w:pPr>
        <w:pStyle w:val="Heading2"/>
      </w:pPr>
      <w:r>
        <w:t xml:space="preserve">6. Challenges and Risk Factors</w:t>
      </w:r>
    </w:p>
    <w:p>
      <w:pPr>
        <w:pStyle w:val="FirstParagraph"/>
      </w:pPr>
      <w:r>
        <w:t xml:space="preserve">Despite the benefits, challenges remain. There is a saturation of generic consulting firms in United Arab Emirates Abu Dhabi that lack specialized knowledge in niche industries such as renewable energy or fintech. Identifying a Business Consultant with specific sector expertise requires rigorous vetting. Additionally, language barriers and misinterpretations of local business etiquette can lead to project failures if the Business Consultant lacks deep cultural immersion.</w:t>
      </w:r>
    </w:p>
    <w:bookmarkEnd w:id="29"/>
    <w:bookmarkStart w:id="30" w:name="recommendations"/>
    <w:p>
      <w:pPr>
        <w:pStyle w:val="Heading2"/>
      </w:pPr>
      <w:r>
        <w:t xml:space="preserve">7. Recommendations</w:t>
      </w:r>
    </w:p>
    <w:p>
      <w:pPr>
        <w:pStyle w:val="FirstParagraph"/>
      </w:pPr>
      <w:r>
        <w:t xml:space="preserve">Based on the findings of this Lab Report regarding Business Consultant efficacy in United Arab Emirates Abu Dhabi, the following recommendations are proposed:</w:t>
      </w:r>
    </w:p>
    <w:p>
      <w:pPr>
        <w:numPr>
          <w:ilvl w:val="0"/>
          <w:numId w:val="1002"/>
        </w:numPr>
        <w:pStyle w:val="Compact"/>
      </w:pPr>
      <w:r>
        <w:rPr>
          <w:bCs/>
          <w:b/>
        </w:rPr>
        <w:t xml:space="preserve">Sector-Specific Vetting:</w:t>
      </w:r>
      <w:r>
        <w:t xml:space="preserve"> </w:t>
      </w:r>
      <w:r>
        <w:t xml:space="preserve">Organizations seeking to enter United Arab Emirates Abu Dhabi must vet Business Consultants based on their specific track record in the relevant industry, rather than general business management credentials.</w:t>
      </w:r>
    </w:p>
    <w:p>
      <w:pPr>
        <w:numPr>
          <w:ilvl w:val="0"/>
          <w:numId w:val="1002"/>
        </w:numPr>
        <w:pStyle w:val="Compact"/>
      </w:pPr>
      <w:r>
        <w:rPr>
          <w:bCs/>
          <w:b/>
        </w:rPr>
        <w:t xml:space="preserve">Integrated Service Models:</w:t>
      </w:r>
      <w:r>
        <w:t xml:space="preserve"> </w:t>
      </w:r>
      <w:r>
        <w:t xml:space="preserve">Future engagements should favor Business Consultant firms that offer integrated legal and strategic services to minimize handover errors within the complex regulatory framework of United Arab Emirates Abu Dhabi.</w:t>
      </w:r>
    </w:p>
    <w:p>
      <w:pPr>
        <w:numPr>
          <w:ilvl w:val="0"/>
          <w:numId w:val="1002"/>
        </w:numPr>
        <w:pStyle w:val="Compact"/>
      </w:pPr>
      <w:r>
        <w:rPr>
          <w:bCs/>
          <w:b/>
        </w:rPr>
        <w:t xml:space="preserve">Cultural Training:</w:t>
      </w:r>
      <w:r>
        <w:t xml:space="preserve"> </w:t>
      </w:r>
      <w:r>
        <w:t xml:space="preserve">Internal teams must undergo cultural training facilitated by the Business Consultant to ensure smooth integration with local partners in United Arab Emirates Abu Dhabi.</w:t>
      </w:r>
    </w:p>
    <w:p>
      <w:pPr>
        <w:numPr>
          <w:ilvl w:val="0"/>
          <w:numId w:val="1002"/>
        </w:numPr>
        <w:pStyle w:val="Compact"/>
      </w:pPr>
      <w:r>
        <w:rPr>
          <w:bCs/>
          <w:b/>
        </w:rPr>
        <w:t xml:space="preserve">Dynamic Contracting:</w:t>
      </w:r>
      <w:r>
        <w:t xml:space="preserve"> </w:t>
      </w:r>
      <w:r>
        <w:t xml:space="preserve">Contracts with Business Consultants should include performance-based milestones tied to regulatory approvals and operational launches, ensuring accountability for results in the competitive market of United Arab Emirates Abu Dhabi.</w:t>
      </w:r>
    </w:p>
    <w:bookmarkEnd w:id="30"/>
    <w:bookmarkStart w:id="31" w:name="conclusion"/>
    <w:p>
      <w:pPr>
        <w:pStyle w:val="Heading2"/>
      </w:pPr>
      <w:r>
        <w:t xml:space="preserve">8. Conclusion</w:t>
      </w:r>
    </w:p>
    <w:p>
      <w:pPr>
        <w:pStyle w:val="FirstParagraph"/>
      </w:pPr>
      <w:r>
        <w:t xml:space="preserve">This Lab Report definitively concludes that engaging a qualified Business Consultant is not merely an optional support service but a strategic necessity for sustainable growth in United Arab Emirates Abu Dhabi. The complexity of the local legal environment, the importance of governmental relations, and the speed at which regulations evolve in United Arab Emirates Abu Dhabi demand expert oversight. Companies that fail to leverage this expertise risk significant delays, financial penalties, and reputational damage.</w:t>
      </w:r>
    </w:p>
    <w:p>
      <w:pPr>
        <w:pStyle w:val="BodyText"/>
      </w:pPr>
      <w:r>
        <w:t xml:space="preserve">The data supports a strong positive correlation between high-quality Business Consultant intervention and successful market integration. As United Arab Emirates Abu Dhabi continues to position itself as a global business hub, the value proposition of specialized advisory services will only increase. Therefore, it is recommended that all future expansion projects in United Arab Emirates Abu Dhabi include dedicated budget lines for comprehensive Business Consultant engagement.</w:t>
      </w:r>
    </w:p>
    <w:p>
      <w:pPr>
        <w:pStyle w:val="BodyText"/>
      </w:pPr>
      <w:r>
        <w:rPr>
          <w:bCs/>
          <w:b/>
        </w:rPr>
        <w:t xml:space="preserve">Prepared By:</w:t>
      </w:r>
    </w:p>
    <w:p>
      <w:pPr>
        <w:pStyle w:val="BodyText"/>
      </w:pPr>
      <w:r>
        <w:rPr>
          <w:iCs/>
          <w:i/>
        </w:rPr>
        <w:t xml:space="preserve">Jane Doe</w:t>
      </w:r>
      <w:r>
        <w:br/>
      </w:r>
      <w:r>
        <w:t xml:space="preserve">Senior Strategic Analyst</w:t>
      </w:r>
      <w:r>
        <w:br/>
      </w:r>
      <w:r>
        <w:t xml:space="preserve">Global Advisory Solutions</w:t>
      </w:r>
    </w:p>
    <w:p>
      <w:pPr>
        <w:pStyle w:val="BodyText"/>
      </w:pPr>
      <w:r>
        <w:br/>
      </w:r>
      <w:r>
        <w:br/>
      </w:r>
    </w:p>
    <w:p>
      <w:pPr>
        <w:pStyle w:val="BodyText"/>
      </w:pPr>
      <w:r>
        <w:rPr>
          <w:bCs/>
          <w:b/>
        </w:rPr>
        <w:t xml:space="preserve">Approved By:</w:t>
      </w:r>
    </w:p>
    <w:p>
      <w:pPr>
        <w:pStyle w:val="BodyText"/>
      </w:pPr>
      <w:r>
        <w:rPr>
          <w:iCs/>
          <w:i/>
        </w:rPr>
        <w:t xml:space="preserve">John Smith</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United Arab Emirates Abu Dhabi</dc:title>
  <dc:creator/>
  <dc:language>en</dc:language>
  <cp:keywords/>
  <dcterms:created xsi:type="dcterms:W3CDTF">2026-07-29T19:39:58Z</dcterms:created>
  <dcterms:modified xsi:type="dcterms:W3CDTF">2026-07-29T19:39:58Z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