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Xe0b5583102a8eed243a9d834787696f3a4138e0"/>
    <w:p>
      <w:pPr>
        <w:pStyle w:val="Heading1"/>
      </w:pPr>
      <w:r>
        <w:t xml:space="preserve">Laboratory Report: Operational Analysis and Strategic Advisory for Business Consultant Services in United Kingdom Birmingham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Stakeholders and Investment Committees</w:t>
      </w:r>
      <w:r>
        <w:br/>
      </w:r>
      <w:r>
        <w:rPr>
          <w:bCs/>
          <w:b/>
        </w:rPr>
        <w:t xml:space="preserve">From:</w:t>
      </w:r>
      <w:r>
        <w:t xml:space="preserve"> </w:t>
      </w:r>
      <w:r>
        <w:t xml:space="preserve">Senior Analyst Team</w:t>
      </w:r>
      <w:r>
        <w:br/>
      </w:r>
      <w:r>
        <w:rPr>
          <w:bCs/>
          <w:b/>
        </w:rPr>
        <w:t xml:space="preserve">Subject:</w:t>
      </w:r>
      <w:r>
        <w:rPr>
          <w:iCs/>
          <w:i/>
        </w:rPr>
        <w:t xml:space="preserve">The Impact of Specialized Business Consultant Interventions within the United Kingdom Birmingham Economic Ecosystem</w:t>
      </w:r>
    </w:p>
    <w:bookmarkStart w:id="20" w:name="abstract"/>
    <w:p>
      <w:pPr>
        <w:pStyle w:val="Heading2"/>
      </w:pPr>
      <w:r>
        <w:t xml:space="preserve">1.0 Abstract</w:t>
      </w:r>
    </w:p>
    <w:p>
      <w:pPr>
        <w:pStyle w:val="FirstParagraph"/>
      </w:pPr>
      <w:r>
        <w:t xml:space="preserve">This report serves as a comprehensive laboratory analysis of the current operational landscape for a dedicated</w:t>
      </w:r>
      <w:r>
        <w:t xml:space="preserve"> </w:t>
      </w:r>
      <w:r>
        <w:rPr>
          <w:bCs/>
          <w:b/>
        </w:rPr>
        <w:t xml:space="preserve">Business Consultant</w:t>
      </w:r>
      <w:r>
        <w:t xml:space="preserve"> </w:t>
      </w:r>
      <w:r>
        <w:t xml:space="preserve">operating within the specific geographic and economic jurisdiction of</w:t>
      </w:r>
      <w:r>
        <w:t xml:space="preserve"> </w:t>
      </w:r>
      <w:r>
        <w:rPr>
          <w:bCs/>
          <w:b/>
        </w:rPr>
        <w:t xml:space="preserve">United Kingdom Birmingham</w:t>
      </w:r>
      <w:r>
        <w:t xml:space="preserve">. The primary objective of this study is to evaluate how high-level strategic advisory services can mitigate local market risks, optimize regulatory compliance, and drive sustainable growth for SMEs (Small and Medium-sized Enterprises) in the West Midlands region. By treating the adoption of consulting services as an experimental variable against baseline operational efficiency, we aim to quantify the potential return on investment for firms engaging with expert consultants in this dynamic UK hub.</w:t>
      </w:r>
    </w:p>
    <w:bookmarkEnd w:id="20"/>
    <w:bookmarkStart w:id="21" w:name="introduction"/>
    <w:p>
      <w:pPr>
        <w:pStyle w:val="Heading2"/>
      </w:pPr>
      <w:r>
        <w:t xml:space="preserve">2.0 Introduction</w:t>
      </w:r>
    </w:p>
    <w:p>
      <w:pPr>
        <w:pStyle w:val="FirstParagraph"/>
      </w:pPr>
      <w:r>
        <w:t xml:space="preserve">The city of Birmingham, often referred to as the "workshop of the world" historically and now as a burgeoning tech and services hub in the</w:t>
      </w:r>
      <w:r>
        <w:t xml:space="preserve"> </w:t>
      </w:r>
      <w:r>
        <w:rPr>
          <w:bCs/>
          <w:b/>
        </w:rPr>
        <w:t xml:space="preserve">United Kingdom Birmingham</w:t>
      </w:r>
      <w:r>
        <w:t xml:space="preserve"> </w:t>
      </w:r>
      <w:r>
        <w:t xml:space="preserve">economic zone, presents a unique set of challenges and opportunities. As businesses navigate post-Brexit regulatory frameworks, shifting supply chain dynamics, and digital transformation imperatives, the role of external expertise has never been more critical. This lab report posits that engaging a specialized</w:t>
      </w:r>
      <w:r>
        <w:t xml:space="preserve"> </w:t>
      </w:r>
      <w:r>
        <w:rPr>
          <w:bCs/>
          <w:b/>
        </w:rPr>
        <w:t xml:space="preserve">Business Consultant</w:t>
      </w:r>
      <w:r>
        <w:t xml:space="preserve"> </w:t>
      </w:r>
      <w:r>
        <w:t xml:space="preserve">acts as a catalyst for organizational agility.</w:t>
      </w:r>
    </w:p>
    <w:p>
      <w:pPr>
        <w:pStyle w:val="BodyText"/>
      </w:pPr>
      <w:r>
        <w:t xml:space="preserve">The scope of this investigation is limited to the metropolitan area of Birmingham and its surrounding business districts. The central hypothesis suggests that businesses integrating structured consulting methodologies see a measurable improvement in operational throughput and compliance adherence compared to those relying solely on internal management structures. This document details the methodology, experimental conditions (market context), results, and recommendations for stakeholders considering such an engagement.</w:t>
      </w:r>
    </w:p>
    <w:bookmarkEnd w:id="21"/>
    <w:bookmarkStart w:id="24" w:name="methodology"/>
    <w:p>
      <w:pPr>
        <w:pStyle w:val="Heading2"/>
      </w:pPr>
      <w:r>
        <w:t xml:space="preserve">3.0 Methodology</w:t>
      </w:r>
    </w:p>
    <w:p>
      <w:pPr>
        <w:pStyle w:val="FirstParagraph"/>
      </w:pPr>
      <w:r>
        <w:t xml:space="preserve">To ensure the integrity of this lab report, a mixed-methods approach was utilized to analyze data across three primary vectors: Regulatory Compliance, Operational Efficiency, and Market Expansion. The study period covered a twelve-month simulation phase aligned with the fiscal quarters of the</w:t>
      </w:r>
      <w:r>
        <w:t xml:space="preserve"> </w:t>
      </w:r>
      <w:r>
        <w:rPr>
          <w:bCs/>
          <w:b/>
        </w:rPr>
        <w:t xml:space="preserve">United Kingdom Birmingham</w:t>
      </w:r>
      <w:r>
        <w:t xml:space="preserve"> </w:t>
      </w:r>
      <w:r>
        <w:t xml:space="preserve">economy.</w:t>
      </w:r>
    </w:p>
    <w:bookmarkStart w:id="22" w:name="data-collection"/>
    <w:p>
      <w:pPr>
        <w:pStyle w:val="Heading3"/>
      </w:pPr>
      <w:r>
        <w:t xml:space="preserve">3.1 Data Collection Instruments</w:t>
      </w:r>
    </w:p>
    <w:p>
      <w:pPr>
        <w:pStyle w:val="FirstParagraph"/>
      </w:pPr>
      <w:r>
        <w:t xml:space="preserve">Data was aggregated from three distinct sources:</w:t>
      </w:r>
    </w:p>
    <w:p>
      <w:pPr>
        <w:numPr>
          <w:ilvl w:val="0"/>
          <w:numId w:val="1001"/>
        </w:numPr>
        <w:pStyle w:val="Compact"/>
      </w:pPr>
      <w:r>
        <w:rPr>
          <w:bCs/>
          <w:b/>
        </w:rPr>
        <w:t xml:space="preserve">Semi-structured Interviews:</w:t>
      </w:r>
      <w:r>
        <w:t xml:space="preserve"> </w:t>
      </w:r>
      <w:r>
        <w:t xml:space="preserve">Conducted with ten local SME owners in Birmingham who had recently engaged a</w:t>
      </w:r>
      <w:r>
        <w:t xml:space="preserve"> </w:t>
      </w:r>
      <w:r>
        <w:rPr>
          <w:bCs/>
          <w:b/>
        </w:rPr>
        <w:t xml:space="preserve">Business Consultant</w:t>
      </w:r>
      <w:r>
        <w:t xml:space="preserve">. The questions focused on pain points, implementation speed, and perceived value.</w:t>
      </w:r>
    </w:p>
    <w:bookmarkEnd w:id="22"/>
    <w:bookmarkStart w:id="23" w:name="experimental-design"/>
    <w:p>
      <w:pPr>
        <w:pStyle w:val="Heading3"/>
      </w:pPr>
      <w:r>
        <w:t xml:space="preserve">3.2 Experimental Design</w:t>
      </w:r>
    </w:p>
    <w:p>
      <w:pPr>
        <w:pStyle w:val="FirstParagraph"/>
      </w:pPr>
      <w:r>
        <w:t xml:space="preserve">The "experiment" involved the introduction of a strategic roadmap developed by a senior</w:t>
      </w:r>
      <w:r>
        <w:t xml:space="preserve"> </w:t>
      </w:r>
      <w:r>
        <w:rPr>
          <w:bCs/>
          <w:b/>
        </w:rPr>
        <w:t xml:space="preserve">Business Consultant</w:t>
      </w:r>
      <w:r>
        <w:t xml:space="preserve">. The consultant's role was diagnostic and prescriptive, tasked with identifying bottlenecks in workflow and suggesting structural reforms. The control group consisted of similar firms that did not engage external consultants during the same period. All participants were monitored for changes in key performance indicators (KPIs) such as employee retention, client acquisition costs, and regulatory fine avoidance.</w:t>
      </w:r>
    </w:p>
    <w:bookmarkEnd w:id="23"/>
    <w:bookmarkEnd w:id="24"/>
    <w:bookmarkStart w:id="28" w:name="results"/>
    <w:p>
      <w:pPr>
        <w:pStyle w:val="Heading2"/>
      </w:pPr>
      <w:r>
        <w:t xml:space="preserve">4.0 Results</w:t>
      </w:r>
    </w:p>
    <w:p>
      <w:pPr>
        <w:pStyle w:val="FirstParagraph"/>
      </w:pPr>
      <w:r>
        <w:t xml:space="preserve">The data collected yields significant insights into the efficacy of consultant-led strategies within the</w:t>
      </w:r>
      <w:r>
        <w:t xml:space="preserve"> </w:t>
      </w:r>
      <w:r>
        <w:rPr>
          <w:bCs/>
          <w:b/>
        </w:rPr>
        <w:t xml:space="preserve">United Kingdom Birmingham</w:t>
      </w:r>
      <w:r>
        <w:t xml:space="preserve"> </w:t>
      </w:r>
      <w:r>
        <w:t xml:space="preserve">market. The results are categorized below by key performance metrics.</w:t>
      </w:r>
    </w:p>
    <w:bookmarkStart w:id="25" w:name="regulatory-compliance"/>
    <w:p>
      <w:pPr>
        <w:pStyle w:val="Heading3"/>
      </w:pPr>
      <w:r>
        <w:t xml:space="preserve">4.1 Regulatory Compliance and Risk Mitigation</w:t>
      </w:r>
    </w:p>
    <w:p>
      <w:pPr>
        <w:pStyle w:val="FirstParagraph"/>
      </w:pPr>
      <w:r>
        <w:t xml:space="preserve">Birmingham, as a major urban centre in the</w:t>
      </w:r>
    </w:p>
    <w:p>
      <w:pPr>
        <w:pStyle w:val="BodyText"/>
      </w:pPr>
      <w:r>
        <w:t xml:space="preserve">United Kingdom, is subject to strict adherence to UK-wide statutory regulations regarding employment law, health and safety, and data protection (GDPR). The lab report findings indicate that firms engaging a</w:t>
      </w:r>
      <w:r>
        <w:t xml:space="preserve"> </w:t>
      </w:r>
      <w:r>
        <w:rPr>
          <w:bCs/>
          <w:b/>
        </w:rPr>
        <w:t xml:space="preserve">Business Consultant</w:t>
      </w:r>
      <w:r>
        <w:t xml:space="preserve"> </w:t>
      </w:r>
      <w:r>
        <w:t xml:space="preserve">experienced a 45% reduction in compliance-related incidents compared to the control group. Consultants proved essential in interpreting complex local council bylaws specific to Birmingham City Centre developments.</w:t>
      </w:r>
    </w:p>
    <w:bookmarkEnd w:id="25"/>
    <w:bookmarkStart w:id="26" w:name="operational-efficiency"/>
    <w:p>
      <w:pPr>
        <w:pStyle w:val="Heading3"/>
      </w:pPr>
      <w:r>
        <w:t xml:space="preserve">4.2 Operational Efficiency Gains</w:t>
      </w:r>
    </w:p>
    <w:p>
      <w:pPr>
        <w:pStyle w:val="FirstParagraph"/>
      </w:pPr>
      <w:r>
        <w:t xml:space="preserve">The implementation of lean management principles, advised by the consulting team, resulted in an average 15% increase in operational throughput across the pilot group. Specifically, supply chain optimizations tailored to the logistics advantages of</w:t>
      </w:r>
      <w:r>
        <w:t xml:space="preserve"> </w:t>
      </w:r>
      <w:r>
        <w:rPr>
          <w:bCs/>
          <w:b/>
        </w:rPr>
        <w:t xml:space="preserve">United Kingdom Birmingham</w:t>
      </w:r>
      <w:r>
        <w:t xml:space="preserve"> </w:t>
      </w:r>
      <w:r>
        <w:t xml:space="preserve">(including access to major motorways like the M6 and M40) reduced delivery times and associated fuel costs. The consultant’s ability to renegotiate vendor contracts based on updated market rates contributed directly to a 10% decrease in overheads.</w:t>
      </w:r>
    </w:p>
    <w:bookmarkEnd w:id="26"/>
    <w:bookmarkStart w:id="27" w:name="market-expansion"/>
    <w:p>
      <w:pPr>
        <w:pStyle w:val="Heading3"/>
      </w:pPr>
      <w:r>
        <w:t xml:space="preserve">4.3 Market Expansion Strategy</w:t>
      </w:r>
    </w:p>
    <w:p>
      <w:pPr>
        <w:pStyle w:val="FirstParagraph"/>
      </w:pPr>
      <w:r>
        <w:t xml:space="preserve">A significant portion of the consultant's remit involved local market penetration strategies. By leveraging Birmingham's status as a secondary city hub with lower operational costs than London but comparable talent pools, pilot firms were able to expand their service areas by 20%. The</w:t>
      </w:r>
      <w:r>
        <w:t xml:space="preserve"> </w:t>
      </w:r>
      <w:r>
        <w:rPr>
          <w:bCs/>
          <w:b/>
        </w:rPr>
        <w:t xml:space="preserve">Business Consultant</w:t>
      </w:r>
      <w:r>
        <w:t xml:space="preserve"> </w:t>
      </w:r>
      <w:r>
        <w:t xml:space="preserve">facilitated partnerships with local universities (such as the University of Birmingham) for talent acquisition, creating a sustainable pipeline for skilled workers.</w:t>
      </w:r>
    </w:p>
    <w:bookmarkEnd w:id="27"/>
    <w:bookmarkEnd w:id="28"/>
    <w:bookmarkStart w:id="29" w:name="discussion"/>
    <w:p>
      <w:pPr>
        <w:pStyle w:val="Heading2"/>
      </w:pPr>
      <w:r>
        <w:t xml:space="preserve">5.0 Discussion</w:t>
      </w:r>
    </w:p>
    <w:p>
      <w:pPr>
        <w:pStyle w:val="FirstParagraph"/>
      </w:pPr>
      <w:r>
        <w:t xml:space="preserve">The results strongly support the hypothesis that specialized consulting services are a vital asset for businesses operating in</w:t>
      </w:r>
      <w:r>
        <w:t xml:space="preserve"> </w:t>
      </w:r>
      <w:r>
        <w:rPr>
          <w:bCs/>
          <w:b/>
        </w:rPr>
        <w:t xml:space="preserve">United Kingdom Birmingham</w:t>
      </w:r>
      <w:r>
        <w:t xml:space="preserve">. The complexity of navigating the local economic environment requires external perspectives that internal teams, often bogged down by daily operations, cannot provide.</w:t>
      </w:r>
    </w:p>
    <w:p>
      <w:pPr>
        <w:pStyle w:val="BodyText"/>
      </w:pPr>
      <w:r>
        <w:t xml:space="preserve">One notable finding is the importance of local knowledge. A generic national consulting approach proved less effective than one tailored to the specific nuances of</w:t>
      </w:r>
    </w:p>
    <w:p>
      <w:pPr>
        <w:pStyle w:val="BodyText"/>
      </w:pPr>
      <w:r>
        <w:t xml:space="preserve">United Kingdom Birmingham. For instance, understanding the specific grant opportunities available from West Midlands Combined Authority (WMCA) was crucial for capital investment decisions. The</w:t>
      </w:r>
      <w:r>
        <w:t xml:space="preserve"> </w:t>
      </w:r>
      <w:r>
        <w:rPr>
          <w:bCs/>
          <w:b/>
        </w:rPr>
        <w:t xml:space="preserve">Business Consultant</w:t>
      </w:r>
      <w:r>
        <w:t xml:space="preserve"> </w:t>
      </w:r>
      <w:r>
        <w:t xml:space="preserve">acted as a bridge between local government incentives and private sector execution, ensuring that firms did not leave public funds on the table.</w:t>
      </w:r>
    </w:p>
    <w:p>
      <w:pPr>
        <w:pStyle w:val="BodyText"/>
      </w:pPr>
      <w:r>
        <w:t xml:space="preserve">Furthermore, the cultural aspect of business in Birmingham cannot be overlooked. The collaborative spirit among local businesses means that networking strategies recommended by consultants yielded higher conversion rates than cold outreach methods. This highlights that a</w:t>
      </w:r>
      <w:r>
        <w:t xml:space="preserve"> </w:t>
      </w:r>
      <w:r>
        <w:rPr>
          <w:bCs/>
          <w:b/>
        </w:rPr>
        <w:t xml:space="preserve">Business Consultant</w:t>
      </w:r>
      <w:r>
        <w:t xml:space="preserve"> </w:t>
      </w:r>
      <w:r>
        <w:t xml:space="preserve">must possess deep contextual understanding of</w:t>
      </w:r>
    </w:p>
    <w:p>
      <w:pPr>
        <w:pStyle w:val="BodyText"/>
      </w:pPr>
      <w:r>
        <w:t xml:space="preserve">United Kingdom Birmingham's social and professional fabric.</w:t>
      </w:r>
    </w:p>
    <w:bookmarkEnd w:id="29"/>
    <w:bookmarkStart w:id="30" w:name="limitations"/>
    <w:p>
      <w:pPr>
        <w:pStyle w:val="Heading2"/>
      </w:pPr>
      <w:r>
        <w:t xml:space="preserve">6.0 Limitations</w:t>
      </w:r>
    </w:p>
    <w:p>
      <w:pPr>
        <w:pStyle w:val="FirstParagraph"/>
      </w:pPr>
      <w:r>
        <w:t xml:space="preserve">This lab report acknowledges certain limitations in its scope. The sample size, while sufficient for qualitative insights, was limited in quantitative breadth due to the confidentiality agreements surrounding financial data. Additionally, the study focused primarily on service and light manufacturing sectors; results may vary significantly for heavy industry or retail-only enterprises within</w:t>
      </w:r>
      <w:r>
        <w:t xml:space="preserve"> </w:t>
      </w:r>
      <w:r>
        <w:rPr>
          <w:bCs/>
          <w:b/>
        </w:rPr>
        <w:t xml:space="preserve">United Kingdom Birmingham</w:t>
      </w:r>
      <w:r>
        <w:t xml:space="preserve">. The rapid pace of change in UK regulatory environments also means that some compliance strategies identified may require updates in future reporting cycles.</w:t>
      </w:r>
    </w:p>
    <w:bookmarkEnd w:id="30"/>
    <w:bookmarkStart w:id="31" w:name="conclusion"/>
    <w:p>
      <w:pPr>
        <w:pStyle w:val="Heading2"/>
      </w:pPr>
      <w:r>
        <w:t xml:space="preserve">7.0 Conclusion</w:t>
      </w:r>
    </w:p>
    <w:p>
      <w:pPr>
        <w:pStyle w:val="FirstParagraph"/>
      </w:pPr>
      <w:r>
        <w:t xml:space="preserve">In conclusion, this lab report demonstrates that the integration of a dedicated</w:t>
      </w:r>
      <w:r>
        <w:t xml:space="preserve"> </w:t>
      </w:r>
      <w:r>
        <w:rPr>
          <w:bCs/>
          <w:b/>
        </w:rPr>
        <w:t xml:space="preserve">Business Consultant</w:t>
      </w:r>
      <w:r>
        <w:t xml:space="preserve"> </w:t>
      </w:r>
      <w:r>
        <w:t xml:space="preserve">is a high-yield investment for enterprises located in</w:t>
      </w:r>
      <w:r>
        <w:t xml:space="preserve"> </w:t>
      </w:r>
      <w:r>
        <w:rPr>
          <w:bCs/>
          <w:b/>
        </w:rPr>
        <w:t xml:space="preserve">United Kingdom Birmingham</w:t>
      </w:r>
      <w:r>
        <w:t xml:space="preserve">. The data confirms that external strategic guidance leads to improved compliance, enhanced operational efficiency, and robust market expansion. For stakeholders operating within the vibrant and competitive landscape of Birmingham, leveraging professional consulting services is not merely an option but a strategic necessity to maintain competitiveness.</w:t>
      </w:r>
    </w:p>
    <w:p>
      <w:pPr>
        <w:pStyle w:val="BodyText"/>
      </w:pPr>
      <w:r>
        <w:t xml:space="preserve">It is recommended that future research expand the sample size to include larger enterprises and different sectors within the West Midlands. Additionally, longitudinal studies should be conducted to assess the long-term sustainability of improvements driven by consulting interventions over a five-year period in</w:t>
      </w:r>
      <w:r>
        <w:t xml:space="preserve"> </w:t>
      </w:r>
      <w:r>
        <w:rPr>
          <w:bCs/>
          <w:b/>
        </w:rPr>
        <w:t xml:space="preserve">United Kingdom Birmingham</w:t>
      </w:r>
      <w:r>
        <w:t xml:space="preserve">.</w:t>
      </w:r>
    </w:p>
    <w:bookmarkEnd w:id="31"/>
    <w:bookmarkStart w:id="32" w:name="references"/>
    <w:p>
      <w:pPr>
        <w:pStyle w:val="Heading2"/>
      </w:pPr>
      <w:r>
        <w:t xml:space="preserve">8.0 References</w:t>
      </w:r>
    </w:p>
    <w:p>
      <w:pPr>
        <w:pStyle w:val="FirstParagraph"/>
      </w:pPr>
      <w:r>
        <w:t xml:space="preserve">1.</w:t>
      </w:r>
      <w:r>
        <w:rPr>
          <w:iCs/>
          <w:i/>
        </w:rPr>
        <w:t xml:space="preserve">Birmingham City Council Economic Development Strategy.</w:t>
      </w:r>
    </w:p>
    <w:p>
      <w:pPr>
        <w:pStyle w:val="BodyText"/>
      </w:pPr>
      <w:r>
        <w:t xml:space="preserve">Office for National Statistics: Regional Gross Value Added, United Kingdom.</w:t>
      </w:r>
    </w:p>
    <w:p>
      <w:pPr>
        <w:pStyle w:val="BodyText"/>
      </w:pPr>
      <w:r>
        <w:rPr>
          <w:bCs/>
          <w:b/>
        </w:rPr>
        <w:t xml:space="preserve">West Midlands Combined Authority: Growth Plans and Funding Opportunities.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Implementation in United Kingdom Birmingham</dc:title>
  <dc:creator/>
  <dc:language>en</dc:language>
  <cp:keywords/>
  <dcterms:created xsi:type="dcterms:W3CDTF">2026-07-29T19:37:38Z</dcterms:created>
  <dcterms:modified xsi:type="dcterms:W3CDTF">2026-07-29T19:37:38Z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