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Intervention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51beb533fb171b621c6e260cd628ff709643bce"/>
    <w:p>
      <w:pPr>
        <w:pStyle w:val="Heading1"/>
      </w:pPr>
      <w:r>
        <w:t xml:space="preserve">Lab Report: Strategic Business Consultant Intervention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Sterling Dynamics Ltd.</w:t>
      </w:r>
      <w:r>
        <w:br/>
      </w:r>
      <w:r>
        <w:rPr>
          <w:bCs/>
          <w:b/>
        </w:rPr>
        <w:t xml:space="preserve">From :</w:t>
      </w:r>
      <w:r>
        <w:t xml:space="preserve">Senior Strategy Analyst</w:t>
      </w:r>
      <w:r>
        <w:br/>
      </w:r>
      <w:r>
        <w:rPr>
          <w:bCs/>
          <w:b/>
        </w:rPr>
        <w:t xml:space="preserve">Subject :</w:t>
      </w:r>
      <w:r>
        <w:t xml:space="preserve">Post-Intervention Analysis of Business Consultant Deployment in the United Kingdom London Market</w:t>
      </w:r>
    </w:p>
    <w:bookmarkStart w:id="20" w:name="executive-summary"/>
    <w:p>
      <w:pPr>
        <w:pStyle w:val="Heading2"/>
      </w:pPr>
      <w:r>
        <w:t xml:space="preserve">1.0 Executive Summary</w:t>
      </w:r>
    </w:p>
    <w:p>
      <w:pPr>
        <w:pStyle w:val="FirstParagraph"/>
      </w:pPr>
      <w:r>
        <w:t xml:space="preserve">This Lab Report details the comprehensive evaluation of a strategic intervention undertaken by an independent Business Consultant engaged to revitalize operations within a mid-sized financial technology firm located in the heart of United Kingdom London. The primary objective was to diagnose operational inefficiencies, mitigate regulatory risks associated with post-Brexit compliance frameworks, and optimize market positioning within one of the world’s most competitive financial hubs.</w:t>
      </w:r>
    </w:p>
    <w:p>
      <w:pPr>
        <w:pStyle w:val="BodyText"/>
      </w:pPr>
      <w:r>
        <w:t xml:space="preserve">The findings indicate that while the company possessed strong technological infrastructure, its strategic alignment with local United Kingdom London economic trends was misaligned. Through a phased consulting approach involving data analytics, stakeholder interviews, and process re-engineering, we achieved a 15% reduction in operational costs and a 20% increase in client acquisition rates within six months. This report outlines the methodology, key findings, and strategic recommendations derived from this engagement.</w:t>
      </w:r>
    </w:p>
    <w:bookmarkEnd w:id="20"/>
    <w:bookmarkStart w:id="21" w:name="introduction"/>
    <w:p>
      <w:pPr>
        <w:pStyle w:val="Heading2"/>
      </w:pPr>
      <w:r>
        <w:t xml:space="preserve">2.0 Introduction</w:t>
      </w:r>
    </w:p>
    <w:p>
      <w:pPr>
        <w:pStyle w:val="FirstParagraph"/>
      </w:pPr>
      <w:r>
        <w:t xml:space="preserve">The business landscape in United Kingdom London is characterized by rapid regulatory changes, high operational costs, and intense competition for talent. For businesses operating within this specific geographic jurisdiction (United Kingdom London), standard consulting models often fail to account for the nuanced local regulatory environment and cultural business practices.</w:t>
      </w:r>
    </w:p>
    <w:p>
      <w:pPr>
        <w:pStyle w:val="BodyText"/>
      </w:pPr>
      <w:r>
        <w:t xml:space="preserve">A Business Consultant serves not merely as an external advisor but as a critical instrument for organizational diagnosis. In the context of United Kingdom London, where financial services and professional firms dominate the economic output, the role of a Business Consultant is pivotal in navigating complexities such as FCA (Financial Conduct Authority) regulations, post-Brexit trade protocols, and dynamic labor markets. This report serves as a formal laboratory-style documentation of how expert consulting frameworks were applied to solve specific corporate challenges.</w:t>
      </w:r>
    </w:p>
    <w:bookmarkEnd w:id="21"/>
    <w:bookmarkStart w:id="22" w:name="methodology"/>
    <w:p>
      <w:pPr>
        <w:pStyle w:val="Heading2"/>
      </w:pPr>
      <w:r>
        <w:t xml:space="preserve">3.0 Methodology</w:t>
      </w:r>
    </w:p>
    <w:p>
      <w:pPr>
        <w:pStyle w:val="FirstParagraph"/>
      </w:pPr>
      <w:r>
        <w:t xml:space="preserve">To ensure rigorous analysis akin to scientific laboratory procedures, the following methodology was employed during the Business Consultant engagement:</w:t>
      </w:r>
    </w:p>
    <w:p>
      <w:pPr>
        <w:numPr>
          <w:ilvl w:val="0"/>
          <w:numId w:val="1001"/>
        </w:numPr>
        <w:pStyle w:val="Compact"/>
      </w:pPr>
      <w:r>
        <w:rPr>
          <w:bCs/>
          <w:b/>
        </w:rPr>
        <w:t xml:space="preserve">Data Collection Phase:</w:t>
      </w:r>
      <w:r>
        <w:t xml:space="preserve">We aggregated internal financial data, employee performance metrics, and customer feedback loops over a twelve-month period. Simultaneously, external market data regarding United Kingdom London competitors was collected to benchmark performance.</w:t>
      </w:r>
    </w:p>
    <w:p>
      <w:pPr>
        <w:numPr>
          <w:ilvl w:val="0"/>
          <w:numId w:val="1001"/>
        </w:numPr>
        <w:pStyle w:val="Compact"/>
      </w:pPr>
      <w:r>
        <w:rPr>
          <w:bCs/>
          <w:b/>
        </w:rPr>
        <w:t xml:space="preserve">Diagnostic Interviews:</w:t>
      </w:r>
      <w:r>
        <w:t xml:space="preserve">Semi-structured interviews were conducted with C-suite executives, middle management, and junior staff. This qualitative data helped identify cultural friction points that quantitative data alone could not reveal.</w:t>
      </w:r>
    </w:p>
    <w:p>
      <w:pPr>
        <w:numPr>
          <w:ilvl w:val="0"/>
          <w:numId w:val="1001"/>
        </w:numPr>
        <w:pStyle w:val="Compact"/>
      </w:pPr>
      <w:r>
        <w:rPr>
          <w:bCs/>
          <w:b/>
        </w:rPr>
        <w:t xml:space="preserve">Process Mapping:</w:t>
      </w:r>
      <w:r>
        <w:t xml:space="preserve">We utilized value-stream mapping to visualize the customer journey within the United Kingdom London market context. This allowed us to identify bottlenecks in service delivery and compliance checks.</w:t>
      </w:r>
    </w:p>
    <w:p>
      <w:pPr>
        <w:numPr>
          <w:ilvl w:val="0"/>
          <w:numId w:val="1001"/>
        </w:numPr>
        <w:pStyle w:val="Compact"/>
      </w:pPr>
      <w:r>
        <w:rPr>
          <w:bCs/>
          <w:b/>
        </w:rPr>
        <w:t xml:space="preserve">Pilot Implementation:</w:t>
      </w:r>
      <w:r>
        <w:t xml:space="preserve">A Business Consultant-led pilot program was launched in a single department to test proposed changes before company-wide rollout.</w:t>
      </w:r>
    </w:p>
    <w:bookmarkEnd w:id="22"/>
    <w:bookmarkStart w:id="26" w:name="key-findings"/>
    <w:p>
      <w:pPr>
        <w:pStyle w:val="Heading2"/>
      </w:pPr>
      <w:r>
        <w:t xml:space="preserve">4.0 Key Findings</w:t>
      </w:r>
    </w:p>
    <w:p>
      <w:pPr>
        <w:pStyle w:val="FirstParagraph"/>
      </w:pPr>
      <w:r>
        <w:t xml:space="preserve">The analysis revealed three critical areas requiring intervention:</w:t>
      </w:r>
    </w:p>
    <w:bookmarkStart w:id="23" w:name="regulatory-compliance-gaps"/>
    <w:p>
      <w:pPr>
        <w:pStyle w:val="Heading3"/>
      </w:pPr>
      <w:r>
        <w:rPr>
          <w:iCs/>
          <w:i/>
          <w:bCs/>
          <w:b/>
        </w:rPr>
        <w:t xml:space="preserve">4.1 Regulatory Compliance Gaps</w:t>
      </w:r>
    </w:p>
    <w:p>
      <w:pPr>
        <w:pStyle w:val="FirstParagraph"/>
      </w:pPr>
      <w:r>
        <w:t xml:space="preserve">The existing operational framework lacked sufficient agility to adapt to new United Kingdom London financial regulations. The Business Consultant identified that 30% of reported errors stemmed from outdated compliance protocols inherited from pre-Brexit structures. These gaps posed significant legal risks and potential fines under FCA scrutiny.</w:t>
      </w:r>
    </w:p>
    <w:bookmarkEnd w:id="23"/>
    <w:bookmarkStart w:id="24" w:name="operational-inefficiencies"/>
    <w:p>
      <w:pPr>
        <w:pStyle w:val="Heading3"/>
      </w:pPr>
      <w:r>
        <w:rPr>
          <w:iCs/>
          <w:i/>
          <w:bCs/>
          <w:b/>
        </w:rPr>
        <w:t xml:space="preserve">4.2 Operational Inefficiencies</w:t>
      </w:r>
    </w:p>
    <w:p>
      <w:pPr>
        <w:pStyle w:val="FirstParagraph"/>
      </w:pPr>
      <w:r>
        <w:t xml:space="preserve">Redundant approval processes slowed down decision-making significantly. In the fast-paced environment of United Kingdom London, speed is a competitive advantage. The Business Consultant found that multi-layered approvals delayed client responses by an average of 48 hours, leading to a loss of potential business opportunities.</w:t>
      </w:r>
    </w:p>
    <w:bookmarkEnd w:id="24"/>
    <w:bookmarkStart w:id="25" w:name="talent-retention-issues"/>
    <w:p>
      <w:pPr>
        <w:pStyle w:val="Heading3"/>
      </w:pPr>
      <w:r>
        <w:rPr>
          <w:iCs/>
          <w:i/>
          <w:bCs/>
          <w:b/>
        </w:rPr>
        <w:t xml:space="preserve">4.3 Talent Retention Issues</w:t>
      </w:r>
    </w:p>
    <w:p>
      <w:pPr>
        <w:pStyle w:val="FirstParagraph"/>
      </w:pPr>
      <w:r>
        <w:t xml:space="preserve">High turnover rates in United Kingdom London were exacerbated by unclear career progression paths and rigid working structures. The Business Consultant’s analysis showed that flexible working arrangements, highly valued by the local workforce, were underutilized.</w:t>
      </w:r>
    </w:p>
    <w:bookmarkEnd w:id="25"/>
    <w:bookmarkEnd w:id="26"/>
    <w:bookmarkStart w:id="27" w:name="intervention-strategies"/>
    <w:p>
      <w:pPr>
        <w:pStyle w:val="Heading2"/>
      </w:pPr>
      <w:r>
        <w:rPr>
          <w:bCs/>
          <w:b/>
        </w:rPr>
        <w:t xml:space="preserve">5.0 Intervention Strategies</w:t>
      </w:r>
    </w:p>
    <w:p>
      <w:pPr>
        <w:pStyle w:val="FirstParagraph"/>
      </w:pPr>
      <w:r>
        <w:t xml:space="preserve">Based on these findings, the Business Consultant recommended and facilitated the following strategic adjustments:</w:t>
      </w:r>
    </w:p>
    <w:p>
      <w:pPr>
        <w:numPr>
          <w:ilvl w:val="0"/>
          <w:numId w:val="1002"/>
        </w:numPr>
        <w:pStyle w:val="Compact"/>
      </w:pPr>
      <w:r>
        <w:rPr>
          <w:iCs/>
          <w:i/>
          <w:bCs/>
          <w:b/>
        </w:rPr>
        <w:t xml:space="preserve">Regulatory Overhaul:</w:t>
      </w:r>
      <w:r>
        <w:t xml:space="preserve">Implemented a real-time compliance monitoring system tailored to United Kingdom London standards. This involved updating software frameworks and retraining staff on new protocols.</w:t>
      </w:r>
    </w:p>
    <w:p>
      <w:pPr>
        <w:numPr>
          <w:ilvl w:val="0"/>
          <w:numId w:val="1002"/>
        </w:numPr>
        <w:pStyle w:val="Compact"/>
      </w:pPr>
      <w:r>
        <w:rPr>
          <w:iCs/>
          <w:i/>
          <w:bCs/>
          <w:b/>
        </w:rPr>
        <w:t xml:space="preserve">Process Streamlining:</w:t>
      </w:r>
      <w:r>
        <w:t xml:space="preserve">Reduced approval layers from five to two for standard operational requests. Empowered department heads with greater autonomy, aligning with agile management practices preferred in modern United Kingdom London corporate culture.</w:t>
      </w:r>
    </w:p>
    <w:p>
      <w:pPr>
        <w:numPr>
          <w:ilvl w:val="0"/>
          <w:numId w:val="1002"/>
        </w:numPr>
        <w:pStyle w:val="Compact"/>
      </w:pPr>
      <w:r>
        <w:rPr>
          <w:iCs/>
          <w:i/>
          <w:bCs/>
          <w:b/>
        </w:rPr>
        <w:t xml:space="preserve">Hybrid Work Models:</w:t>
      </w:r>
    </w:p>
    <w:bookmarkEnd w:id="27"/>
    <w:bookmarkStart w:id="28" w:name="results-and-performance-metrics"/>
    <w:p>
      <w:pPr>
        <w:pStyle w:val="Heading2"/>
      </w:pPr>
      <w:r>
        <w:rPr>
          <w:bCs/>
          <w:b/>
        </w:rPr>
        <w:t xml:space="preserve">6.0 Results and Performance Metrics</w:t>
      </w:r>
    </w:p>
    <w:p>
      <w:pPr>
        <w:pStyle w:val="FirstParagraph"/>
      </w:pPr>
      <w:r>
        <w:t xml:space="preserve">The impact of these interventions, monitored over six months post-implementation, is summarized in Table 1:</w:t>
      </w:r>
    </w:p>
    <w:p>
      <w:pPr>
        <w:pStyle w:val="BodyText"/>
      </w:pPr>
      <w:r>
        <w:t xml:space="preserve">Metric</w:t>
      </w:r>
    </w:p>
    <w:p>
      <w:pPr>
        <w:pStyle w:val="BodyText"/>
      </w:pPr>
      <w:r>
        <w:t xml:space="preserve">Pre-Intervention Status</w:t>
      </w:r>
    </w:p>
    <w:p>
      <w:pPr>
        <w:pStyle w:val="BodyText"/>
      </w:pPr>
      <w:r>
        <w:t xml:space="preserve">Post-Intervention Status (6 Months)</w:t>
      </w:r>
    </w:p>
    <w:p>
      <w:pPr>
        <w:pStyle w:val="BodyText"/>
      </w:pPr>
      <w:r>
        <w:t xml:space="preserve">tbody tr td { border : 1px solid #ddd;padding:8px;text-align:center; }tbody tr:nth-child(odd){background-color:#f9f9f9;}tbody tr:nth-child(even){background-color:#fff;}</w:t>
      </w:r>
    </w:p>
    <w:p>
      <w:pPr>
        <w:pStyle w:val="BodyText"/>
      </w:pPr>
      <w:r>
        <w:rPr>
          <w:bCs/>
          <w:b/>
        </w:rPr>
        <w:t xml:space="preserve">Operational Costs</w:t>
      </w:r>
    </w:p>
    <w:p>
      <w:pPr>
        <w:pStyle w:val="BodyText"/>
      </w:pPr>
      <w:r>
        <w:t xml:space="preserve">£2.5M annually</w:t>
      </w:r>
    </w:p>
    <w:p>
      <w:pPr>
        <w:pStyle w:val="BodyText"/>
      </w:pPr>
      <w:r>
        <w:t xml:space="preserve">£2.125M annually"</w:t>
      </w:r>
      <w:r>
        <w:t xml:space="preserve"> </w:t>
      </w:r>
      <w:r>
        <w:t xml:space="preserve">" " postcost"&gt; £ 2 .125 M annually</w:t>
      </w:r>
      <w:r>
        <w:t xml:space="preserve"> </w:t>
      </w:r>
      <w:r>
        <w:t xml:space="preserve">" td "&gt; % Decrease : -15%</w:t>
      </w:r>
    </w:p>
    <w:p>
      <w:pPr>
        <w:pStyle w:val="BodyText"/>
      </w:pPr>
      <w:r>
        <w:rPr>
          <w:bCs/>
          <w:b/>
        </w:rPr>
        <w:t xml:space="preserve">Client Acquisition Rate</w:t>
      </w:r>
    </w:p>
    <w:p>
      <w:pPr>
        <w:pStyle w:val="BodyText"/>
      </w:pPr>
      <w:r>
        <w:t xml:space="preserve">40 new clients/quarter"</w:t>
      </w:r>
      <w:r>
        <w:t xml:space="preserve"> </w:t>
      </w:r>
      <w:r>
        <w:t xml:space="preserve">" postclient"&gt; 58 new clients / quarter</w:t>
      </w:r>
      <w:r>
        <w:t xml:space="preserve"> </w:t>
      </w:r>
      <w:r>
        <w:t xml:space="preserve">" td "&gt; % Increase : +45%</w:t>
      </w:r>
    </w:p>
    <w:p>
      <w:pPr>
        <w:pStyle w:val="BodyText"/>
      </w:pPr>
      <w:r>
        <w:rPr>
          <w:bCs/>
          <w:b/>
        </w:rPr>
        <w:t xml:space="preserve">Employee Turnover Rate</w:t>
      </w:r>
    </w:p>
    <w:p>
      <w:pPr>
        <w:pStyle w:val="BodyText"/>
      </w:pPr>
      <w:r>
        <w:t xml:space="preserve">18% annually"</w:t>
      </w:r>
      <w:r>
        <w:t xml:space="preserve"> </w:t>
      </w:r>
      <w:r>
        <w:t xml:space="preserve">" postturnover"&gt; 12% annually</w:t>
      </w:r>
      <w:r>
        <w:t xml:space="preserve"> </w:t>
      </w:r>
      <w:r>
        <w:t xml:space="preserve">" td "&gt; % Decrease : -33%</w:t>
      </w:r>
    </w:p>
    <w:bookmarkEnd w:id="28"/>
    <w:bookmarkStart w:id="29" w:name="discussion"/>
    <w:p>
      <w:pPr>
        <w:pStyle w:val="Heading2"/>
      </w:pPr>
      <w:r>
        <w:rPr>
          <w:bCs/>
          <w:b/>
        </w:rPr>
        <w:t xml:space="preserve">7.0 Discussion</w:t>
      </w:r>
    </w:p>
    <w:p>
      <w:pPr>
        <w:pStyle w:val="FirstParagraph"/>
      </w:pPr>
      <w:r>
        <w:t xml:space="preserve">The success of this Business Consultant intervention highlights the critical importance of localizing global consulting frameworks to fit the specific socio-economic context of United Kingdom London. The high cost of living and operating in United Kingdom London demands that businesses prioritize efficiency and employee satisfaction simultaneously.</w:t>
      </w:r>
    </w:p>
    <w:p>
      <w:pPr>
        <w:pStyle w:val="BodyText"/>
      </w:pPr>
      <w:r>
        <w:t xml:space="preserve">Furthermore, the regulatory environment in United Kingdom London is uniquely stringent. A Business Consultant with specialized knowledge of UK financial laws proved indispensable in navigating these waters. Without this localized expertise, the company would have faced potential regulatory penalties that could have outweighed the cost of consultancy fees.</w:t>
      </w:r>
    </w:p>
    <w:bookmarkEnd w:id="29"/>
    <w:bookmarkStart w:id="30" w:name="conclusion-and-recommendations"/>
    <w:p>
      <w:pPr>
        <w:pStyle w:val="Heading2"/>
      </w:pPr>
      <w:r>
        <w:rPr>
          <w:bCs/>
          <w:b/>
        </w:rPr>
        <w:t xml:space="preserve">8.0 Conclusion and Recommendations</w:t>
      </w:r>
    </w:p>
    <w:p>
      <w:pPr>
        <w:pStyle w:val="FirstParagraph"/>
      </w:pPr>
      <w:r>
        <w:t xml:space="preserve">This Lab Report confirms that engaging a specialized Business Consultant for operations in United Kingdom London yields measurable positive outcomes when the consultant possesses deep regional expertise. The combination of regulatory compliance, operational streamlining, and cultural adaptation resulted in significant financial and strategic gains.</w:t>
      </w:r>
    </w:p>
    <w:p>
      <w:pPr>
        <w:pStyle w:val="BodyText"/>
      </w:pPr>
      <w:r>
        <w:rPr>
          <w:bCs/>
          <w:b/>
        </w:rPr>
        <w:t xml:space="preserve">Recommendations :</w:t>
      </w:r>
    </w:p>
    <w:p>
      <w:pPr>
        <w:numPr>
          <w:ilvl w:val="0"/>
          <w:numId w:val="1003"/>
        </w:numPr>
        <w:pStyle w:val="Compact"/>
      </w:pPr>
      <w:r>
        <w:rPr>
          <w:iCs/>
          <w:i/>
        </w:rPr>
        <w:t xml:space="preserve">Continuous Monitoring:</w:t>
      </w:r>
      <w:r>
        <w:t xml:space="preserve">Establish a quarterly review cycle with the Business Consultant to ensure ongoing compliance with evolving United Kingdom London regulations.</w:t>
      </w:r>
    </w:p>
    <w:p>
      <w:pPr>
        <w:numPr>
          <w:ilvl w:val="0"/>
          <w:numId w:val="1003"/>
        </w:numPr>
        <w:pStyle w:val="Compact"/>
      </w:pPr>
      <w:r>
        <w:rPr>
          <w:iCs/>
          <w:i/>
        </w:rPr>
        <w:t xml:space="preserve">Knowledge Transfer:</w:t>
      </w:r>
      <w:r>
        <w:t xml:space="preserve">Invest in internal training programs to transfer the diagnostic skills acquired during this engagement, reducing future dependency on external consultants for routine issues.</w:t>
      </w:r>
    </w:p>
    <w:p>
      <w:pPr>
        <w:numPr>
          <w:ilvl w:val="0"/>
          <w:numId w:val="1003"/>
        </w:numPr>
        <w:pStyle w:val="Compact"/>
      </w:pPr>
      <w:r>
        <w:rPr>
          <w:iCs/>
          <w:i/>
        </w:rPr>
        <w:t xml:space="preserve">Expansion Strategy:</w:t>
      </w:r>
      <w:r>
        <w:t xml:space="preserve">Leverage the stabilized base in United Kingdom London as a hub for further expansion into other European markets, using the refined processes as a replicable model.</w:t>
      </w:r>
    </w:p>
    <w:p>
      <w:pPr>
        <w:pStyle w:val="FirstParagraph"/>
      </w:pPr>
      <w:r>
        <w:t xml:space="preserve">In conclusion, the synergy between strategic Business Consultant guidance and the dynamic environment of United Kingdom London creates a fertile ground for business optimization. Future engagements should prioritize consultants who not only understand global best practices but also possess an intimate understanding of the unique challenges presented by operating in United Kingdom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Intervention in United Kingdom London</dc:title>
  <dc:creator/>
  <dc:language>en</dc:language>
  <cp:keywords/>
  <dcterms:created xsi:type="dcterms:W3CDTF">2026-07-30T06:17:51Z</dcterms:created>
  <dcterms:modified xsi:type="dcterms:W3CDTF">2026-07-30T06:17:51Z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