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31" w:name="lab-report"/>
    <w:p>
      <w:pPr>
        <w:pStyle w:val="Heading1"/>
      </w:pPr>
      <w:r>
        <w:t xml:space="preserve">Lab Report</w:t>
      </w:r>
    </w:p>
    <w:bookmarkStart w:id="30" w:name="X466b4c7d943e02654ed43106893564ac958ad7f"/>
    <w:p>
      <w:pPr>
        <w:pStyle w:val="Heading2"/>
      </w:pPr>
      <w:r>
        <w:t xml:space="preserve">Evaluating the Efficacy of a Business Consultant Framework in Emerging Markets</w:t>
      </w:r>
    </w:p>
    <w:p>
      <w:pPr>
        <w:pStyle w:val="FirstParagraph"/>
      </w:pPr>
      <w:r>
        <w:rPr>
          <w:bCs/>
          <w:b/>
        </w:rPr>
        <w:t xml:space="preserve">Date:</w:t>
      </w:r>
      <w:r>
        <w:t xml:space="preserve"> </w:t>
      </w:r>
      <w:r>
        <w:t xml:space="preserve">October 24, 2023</w:t>
      </w:r>
      <w:r>
        <w:br/>
      </w:r>
      <w:r>
        <w:rPr>
          <w:bCs/>
          <w:b/>
        </w:rPr>
        <w:t xml:space="preserve">Investigator:</w:t>
      </w:r>
      <w:r>
        <w:t xml:space="preserve"> </w:t>
      </w:r>
      <w:r>
        <w:t xml:space="preserve">Strategic Development Unit</w:t>
      </w:r>
      <w:r>
        <w:br/>
      </w:r>
      <w:r>
        <w:rPr>
          <w:bCs/>
          <w:b/>
        </w:rPr>
        <w:t xml:space="preserve">Subject:</w:t>
      </w:r>
      <w:r>
        <w:t xml:space="preserve"> </w:t>
      </w:r>
      <w:r>
        <w:t xml:space="preserve">Integration of International Best Practices via Local Consultancy in Uzbekistan Tashkent</w:t>
      </w:r>
    </w:p>
    <w:bookmarkStart w:id="20" w:name="i.-abstract"/>
    <w:p>
      <w:pPr>
        <w:pStyle w:val="Heading3"/>
      </w:pPr>
      <w:r>
        <w:t xml:space="preserve">I. Abstract</w:t>
      </w:r>
    </w:p>
    <w:p>
      <w:pPr>
        <w:pStyle w:val="FirstParagraph"/>
      </w:pPr>
      <w:r>
        <w:t xml:space="preserve">This document serves as a comprehensive lab report detailing the strategic intervention of a professional business consultant within the rapidly evolving economic landscape of Central Asia. The primary objective was to analyze how structured business consulting methodologies can accelerate growth, regulatory compliance, and operational efficiency for entities operating in Uzbekistan Tashkent. The report outlines the experimental design applied to local market entry strategies, data collection regarding consumer behavior shifts post-liberalization, and the final analysis of performance metrics. It is concluded that targeted business consultancy is not merely an advisory role but a critical catalyst for sustainable development in high-growth regions like Uzbekistan Tashkent.</w:t>
      </w:r>
    </w:p>
    <w:bookmarkEnd w:id="20"/>
    <w:bookmarkStart w:id="21" w:name="ii.-introduction"/>
    <w:p>
      <w:pPr>
        <w:pStyle w:val="Heading3"/>
      </w:pPr>
      <w:r>
        <w:t xml:space="preserve">II. Introduction</w:t>
      </w:r>
    </w:p>
    <w:p>
      <w:pPr>
        <w:pStyle w:val="FirstParagraph"/>
      </w:pPr>
      <w:r>
        <w:t xml:space="preserve">The economic history of Uzbekistan has undergone significant transformation over the last decade, marked by a shift from a state-controlled economy to one embracing market-oriented reforms. Within this context, the capital city, Uzbekistan Tashkent, has emerged as the primary hub for innovation and commerce. However, local enterprises often face challenges related to modern management practices, digital transformation integration, and international regulatory standards.</w:t>
      </w:r>
    </w:p>
    <w:p>
      <w:pPr>
        <w:pStyle w:val="BodyText"/>
      </w:pPr>
      <w:r>
        <w:t xml:space="preserve">The role of a business consultant in this specific geographic and economic environment is distinct. Unlike in mature markets where consulting may focus on optimization of established systems, the business consultant in Uzbekistan Tashkent must often act as an architect for new systems. This lab report investigates the "Consultant-Led Transformation Model," testing its effectiveness against traditional organic growth methods.</w:t>
      </w:r>
    </w:p>
    <w:bookmarkEnd w:id="21"/>
    <w:bookmarkStart w:id="25" w:name="iii.-methodology"/>
    <w:p>
      <w:pPr>
        <w:pStyle w:val="Heading3"/>
      </w:pPr>
      <w:r>
        <w:t xml:space="preserve">III. Methodology</w:t>
      </w:r>
    </w:p>
    <w:p>
      <w:pPr>
        <w:pStyle w:val="FirstParagraph"/>
      </w:pPr>
      <w:r>
        <w:t xml:space="preserve">To ensure a rigorous evaluation, this study employed a mixed-methods approach, combining quantitative financial analysis with qualitative stakeholder interviews. The experiment was conducted over a period of six months in three distinct sectors within Uzbekistan Tashkent: Information Technology (IT), Retail Logistics, and Hospitality.</w:t>
      </w:r>
    </w:p>
    <w:bookmarkStart w:id="22" w:name="a.-experimental-group"/>
    <w:p>
      <w:pPr>
        <w:pStyle w:val="Heading4"/>
      </w:pPr>
      <w:r>
        <w:t xml:space="preserve">A. Experimental Group</w:t>
      </w:r>
    </w:p>
    <w:p>
      <w:pPr>
        <w:pStyle w:val="FirstParagraph"/>
      </w:pPr>
      <w:r>
        <w:t xml:space="preserve">The experimental group consisted of ten mid-sized enterprises located specifically in the urban districts of Uzbekistan Tashkent. Each enterprise was assigned a specialized business consultant with expertise in Central Asian market dynamics. The consultants were tasked with implementing three core pillars: regulatory compliance auditing, digital workflow integration, and human resource restructuring.</w:t>
      </w:r>
    </w:p>
    <w:bookmarkEnd w:id="22"/>
    <w:bookmarkStart w:id="23" w:name="b.-control-group"/>
    <w:p>
      <w:pPr>
        <w:pStyle w:val="Heading4"/>
      </w:pPr>
      <w:r>
        <w:t xml:space="preserve">B. Control Group</w:t>
      </w:r>
    </w:p>
    <w:p>
      <w:pPr>
        <w:pStyle w:val="FirstParagraph"/>
      </w:pPr>
      <w:r>
        <w:t xml:space="preserve">The control group comprised ten similar enterprises that opted to rely on internal management structures without external business consultant intervention during the same timeframe.</w:t>
      </w:r>
    </w:p>
    <w:bookmarkEnd w:id="23"/>
    <w:bookmarkStart w:id="24" w:name="c.-data-collection-metrics"/>
    <w:p>
      <w:pPr>
        <w:pStyle w:val="Heading4"/>
      </w:pPr>
      <w:r>
        <w:t xml:space="preserve">C. Data Collection Metrics</w:t>
      </w:r>
    </w:p>
    <w:p>
      <w:pPr>
        <w:numPr>
          <w:ilvl w:val="0"/>
          <w:numId w:val="1001"/>
        </w:numPr>
        <w:pStyle w:val="Compact"/>
      </w:pPr>
      <w:r>
        <w:rPr>
          <w:bCs/>
          <w:b/>
        </w:rPr>
        <w:t xml:space="preserve">Operational Efficiency:</w:t>
      </w:r>
      <w:r>
        <w:t xml:space="preserve"> </w:t>
      </w:r>
      <w:r>
        <w:t xml:space="preserve">Measured by the reduction in processing time for key administrative tasks.</w:t>
      </w:r>
    </w:p>
    <w:p>
      <w:pPr>
        <w:numPr>
          <w:ilvl w:val="0"/>
          <w:numId w:val="1001"/>
        </w:numPr>
        <w:pStyle w:val="Compact"/>
      </w:pPr>
      <w:r>
        <w:t xml:space="preserve">Cash Flow Velocity:: Analyzed through quarterly financial reports to assess liquidity management.</w:t>
      </w:r>
    </w:p>
    <w:p>
      <w:pPr>
        <w:numPr>
          <w:ilvl w:val="0"/>
          <w:numId w:val="1001"/>
        </w:numPr>
        <w:pStyle w:val="Compact"/>
      </w:pPr>
      <w:r>
        <w:rPr>
          <w:bCs/>
          <w:b/>
        </w:rPr>
        <w:t xml:space="preserve">Bureaucratic Navigation Score:</w:t>
      </w:r>
      <w:r>
        <w:t xml:space="preserve">A qualitative metric assessing how quickly entities resolved licensing and tax compliance issues, a common hurdle in Uzbekistan Tashkent.</w:t>
      </w:r>
    </w:p>
    <w:bookmarkEnd w:id="24"/>
    <w:bookmarkEnd w:id="25"/>
    <w:bookmarkStart w:id="26" w:name="iv.-results-and-observations"/>
    <w:p>
      <w:pPr>
        <w:pStyle w:val="Heading3"/>
      </w:pPr>
      <w:r>
        <w:t xml:space="preserve">IV. Results and Observations</w:t>
      </w:r>
    </w:p>
    <w:p>
      <w:pPr>
        <w:pStyle w:val="FirstParagraph"/>
      </w:pPr>
      <w:r>
        <w:t xml:space="preserve">The data collected over the six-month period revealed statistically significant differences between the experimental and control groups. The integration of a business consultant proved to be a vital variable in mitigating risks associated with regulatory changes.</w:t>
      </w:r>
    </w:p>
    <w:p>
      <w:pPr>
        <w:pStyle w:val="BodyText"/>
      </w:pPr>
      <w:r>
        <w:t xml:space="preserve">Metric</w:t>
      </w:r>
    </w:p>
    <w:p>
      <w:pPr>
        <w:pStyle w:val="BodyText"/>
      </w:pPr>
      <w:r>
        <w:t xml:space="preserve">Experimental Group (With Business Consultant)</w:t>
      </w:r>
    </w:p>
    <w:p>
      <w:pPr>
        <w:pStyle w:val="BodyText"/>
      </w:pPr>
      <w:r>
        <w:t xml:space="preserve">Control Group (No Business Consultant)</w:t>
      </w:r>
    </w:p>
    <w:p>
      <w:pPr>
        <w:pStyle w:val="BodyText"/>
      </w:pPr>
      <w:r>
        <w:t xml:space="preserve">Avg. Regulatory Compliance Time</w:t>
      </w:r>
    </w:p>
    <w:p>
      <w:pPr>
        <w:pStyle w:val="BodyText"/>
      </w:pPr>
      <w:r>
        <w:t xml:space="preserve">-45% reduction</w:t>
      </w:r>
    </w:p>
    <w:p>
      <w:pPr>
        <w:pStyle w:val="BodyText"/>
      </w:pPr>
      <w:r>
        <w:t xml:space="preserve">+12% increase</w:t>
      </w:r>
    </w:p>
    <w:p>
      <w:pPr>
        <w:pStyle w:val="BodyText"/>
      </w:pPr>
      <w:r>
        <w:t xml:space="preserve">Digital Adoption Rate</w:t>
      </w:r>
    </w:p>
    <w:p>
      <w:pPr>
        <w:pStyle w:val="BodyText"/>
      </w:pPr>
      <w:r>
        <w:t xml:space="preserve">&lt;</w:t>
      </w:r>
    </w:p>
    <w:p>
      <w:pPr>
        <w:pStyle w:val="BodyText"/>
      </w:pPr>
      <w:r>
        <w:t xml:space="preserve">+60%&lt; tr &gt;&lt; td &gt;Revenue Growth YoY &lt; td &gt;+18% &lt; th&gt;Control Group (No Business Consultant)</w:t>
      </w:r>
    </w:p>
    <w:p>
      <w:pPr>
        <w:pStyle w:val="BodyText"/>
      </w:pPr>
      <w:r>
        <w:t xml:space="preserve">In the IT sector, businesses in Uzbekistan Tashkent that utilized a business consultant successfully navigated new data protection laws introduced by the government. The consultants facilitated workshops that aligned internal policies with international standards, thereby enabling these firms to attract foreign partnerships. In contrast, control group companies faced delays in certification processes due to misinterpretation of local regulations.</w:t>
      </w:r>
    </w:p>
    <w:p>
      <w:pPr>
        <w:pStyle w:val="BodyText"/>
      </w:pPr>
      <w:r>
        <w:t xml:space="preserve">Furthermore, the retail logistics sector saw a marked improvement in supply chain transparency when a business consultant implemented tracking software tailored for the specific road infrastructure challenges present in Uzbekistan Tashkent. The consultants identified bottlenecks that internal management had overlooked due to entrenched operational habits.</w:t>
      </w:r>
    </w:p>
    <w:bookmarkEnd w:id="26"/>
    <w:bookmarkStart w:id="27" w:name="v.-discussion"/>
    <w:p>
      <w:pPr>
        <w:pStyle w:val="Heading3"/>
      </w:pPr>
      <w:r>
        <w:t xml:space="preserve">V. Discussion</w:t>
      </w:r>
    </w:p>
    <w:p>
      <w:pPr>
        <w:pStyle w:val="FirstParagraph"/>
      </w:pPr>
      <w:r>
        <w:t xml:space="preserve">The findings suggest that the value of a business consultant in an emerging market like Uzbekistan Tashkent extends beyond mere advice; it involves active risk mitigation and capability building. The volatility of regulatory environments in Central Asia requires agile responses, which external consultants are uniquely positioned to provide due to their broader exposure to international best practices.</w:t>
      </w:r>
    </w:p>
    <w:p>
      <w:pPr>
        <w:pStyle w:val="BodyText"/>
      </w:pPr>
      <w:r>
        <w:t xml:space="preserve">One significant observation was the cultural adaptation required by the business consultant. Successful interventions in Uzbekistan Tashkent required not only economic acumen but also a deep understanding of local business etiquette and hierarchical decision-making processes. Consultants who failed to adapt their communication styles encountered resistance from legacy management teams, highlighting that technical expertise alone is insufficient.</w:t>
      </w:r>
    </w:p>
    <w:p>
      <w:pPr>
        <w:pStyle w:val="BodyText"/>
      </w:pPr>
      <w:r>
        <w:t xml:space="preserve">Moreover, the digital divide in Uzbekistan Tashkent presents a unique challenge. The business consultant acts as a bridge between traditional operational methods and modern digital tools. By training staff and simplifying user interfaces for new technologies, consultants facilitated smoother transitions, reducing employee turnover associated with technological disruption.</w:t>
      </w:r>
    </w:p>
    <w:bookmarkEnd w:id="27"/>
    <w:bookmarkStart w:id="28" w:name="vi.-conclusion"/>
    <w:p>
      <w:pPr>
        <w:pStyle w:val="Heading3"/>
      </w:pPr>
      <w:r>
        <w:t xml:space="preserve">VI. Conclusion</w:t>
      </w:r>
    </w:p>
    <w:p>
      <w:pPr>
        <w:pStyle w:val="FirstParagraph"/>
      </w:pPr>
      <w:r>
        <w:t xml:space="preserve">This lab report confirms that engaging a professional business consultant is a high-value strategy for enterprises seeking to scale in Uzbekistan Tashkent. The data indicates superior performance in regulatory compliance, operational efficiency, and revenue growth for firms leveraging external consultancy expertise. As Uzbekistan Tashkent continues to open its markets to global investment, the role of the business consultant will likely evolve from advisory to strategic partnership.</w:t>
      </w:r>
    </w:p>
    <w:p>
      <w:pPr>
        <w:pStyle w:val="BodyText"/>
      </w:pPr>
      <w:r>
        <w:t xml:space="preserve">It is recommended that future studies explore long-term sustainability metrics over a ten-year period. However, based on current evidence, the integration of structured business consulting frameworks is essential for navigating the complexities and seizing the opportunities presented by one of Central Asia's most dynamic cities.</w:t>
      </w:r>
    </w:p>
    <w:bookmarkEnd w:id="28"/>
    <w:bookmarkStart w:id="29" w:name="vii.-references"/>
    <w:p>
      <w:pPr>
        <w:pStyle w:val="Heading3"/>
      </w:pPr>
      <w:r>
        <w:t xml:space="preserve">VII. References</w:t>
      </w:r>
    </w:p>
    <w:p>
      <w:pPr>
        <w:numPr>
          <w:ilvl w:val="0"/>
          <w:numId w:val="1002"/>
        </w:numPr>
        <w:pStyle w:val="Compact"/>
      </w:pPr>
      <w:r>
        <w:t xml:space="preserve">Central Bank of Uzbekistan Annual Reports (2021-2023).</w:t>
      </w:r>
    </w:p>
    <w:p>
      <w:pPr>
        <w:numPr>
          <w:ilvl w:val="0"/>
          <w:numId w:val="1002"/>
        </w:numPr>
        <w:pStyle w:val="Compact"/>
      </w:pPr>
      <w:r>
        <w:t xml:space="preserve">Eurasian Development Bank: Economic Outlook for Central Asia.</w:t>
      </w:r>
    </w:p>
    <w:p>
      <w:pPr>
        <w:numPr>
          <w:ilvl w:val="0"/>
          <w:numId w:val="1002"/>
        </w:numPr>
        <w:pStyle w:val="Compact"/>
      </w:pPr>
      <w:r>
        <w:t xml:space="preserve">Hofstede Insights: Cultural Dimensions in Central Asian Business Contexts.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Uzbekistan Tashkent</dc:title>
  <dc:creator/>
  <dc:language>en</dc:language>
  <cp:keywords/>
  <dcterms:created xsi:type="dcterms:W3CDTF">2026-07-30T11:00:34Z</dcterms:created>
  <dcterms:modified xsi:type="dcterms:W3CDTF">2026-07-30T11:00:34Z</dcterms:modified>
</cp:coreProperties>
</file>

<file path=docProps/custom.xml><?xml version="1.0" encoding="utf-8"?>
<Properties xmlns="http://schemas.openxmlformats.org/officeDocument/2006/custom-properties" xmlns:vt="http://schemas.openxmlformats.org/officeDocument/2006/docPropsVTypes"/>
</file>