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Practices</w:t>
      </w:r>
      <w:r>
        <w:t xml:space="preserve"> </w:t>
      </w:r>
      <w:r>
        <w:t xml:space="preserve">in</w:t>
      </w:r>
      <w:r>
        <w:t xml:space="preserve"> </w:t>
      </w:r>
      <w:r>
        <w:t xml:space="preserve">Iran</w:t>
      </w:r>
      <w:r>
        <w:t xml:space="preserve"> </w:t>
      </w:r>
      <w:r>
        <w:t xml:space="preserve">Tehran:</w:t>
      </w:r>
      <w:r>
        <w:t xml:space="preserve"> </w:t>
      </w:r>
      <w:r>
        <w:t xml:space="preserve">A</w:t>
      </w:r>
      <w:r>
        <w:t xml:space="preserve"> </w:t>
      </w:r>
      <w:r>
        <w:t xml:space="preserve">Technical</w:t>
      </w:r>
      <w:r>
        <w:t xml:space="preserve"> </w:t>
      </w:r>
      <w:r>
        <w:t xml:space="preserve">Lab</w:t>
      </w:r>
      <w:r>
        <w:t xml:space="preserve"> </w:t>
      </w:r>
      <w:r>
        <w:t xml:space="preserve">Report</w:t>
      </w:r>
    </w:p>
    <w:p>
      <w:pPr>
        <w:pStyle w:val="FirstParagraph"/>
      </w:pPr>
      <w:r>
        <w:t xml:space="preserve">```html</w:t>
      </w:r>
    </w:p>
    <w:bookmarkStart w:id="28" w:name="X120f19ffed68f7f03503051aeb7ad9535cf01a8"/>
    <w:p>
      <w:pPr>
        <w:pStyle w:val="Heading1"/>
      </w:pPr>
      <w:r>
        <w:t xml:space="preserve">Carpentry Practices in Iran Tehran: A Technical Lab Report</w:t>
      </w:r>
    </w:p>
    <w:bookmarkStart w:id="20" w:name="date-of-submission"/>
    <w:p>
      <w:pPr>
        <w:pStyle w:val="Heading2"/>
      </w:pPr>
      <w:r>
        <w:t xml:space="preserve">Date of Submission:</w:t>
      </w:r>
    </w:p>
    <w:p>
      <w:pPr>
        <w:pStyle w:val="FirstParagraph"/>
      </w:pPr>
      <w:r>
        <w:t xml:space="preserve">[Current Date]</w:t>
      </w:r>
    </w:p>
    <w:bookmarkEnd w:id="20"/>
    <w:bookmarkStart w:id="21" w:name="i.-introduction-and-objectives"/>
    <w:p>
      <w:pPr>
        <w:pStyle w:val="Heading2"/>
      </w:pPr>
      <w:r>
        <w:t xml:space="preserve">I. Introduction and Objectives</w:t>
      </w:r>
    </w:p>
    <w:p>
      <w:pPr>
        <w:pStyle w:val="FirstParagraph"/>
      </w:pPr>
      <w:r>
        <w:t xml:space="preserve">This lab report details a comprehensive analysis of the carpentry industry and its application within the architectural landscape of Iran, Tehran. The objective is to evaluate traditional versus modern woodworking techniques specific to the climatic, cultural, and economic conditions prevalent in Tehran.</w:t>
      </w:r>
    </w:p>
    <w:p>
      <w:pPr>
        <w:pStyle w:val="BodyText"/>
      </w:pPr>
      <w:r>
        <w:t xml:space="preserve">Carpentry remains an indispensable element in the construction and preservation sectors of Iran. In a rapidly urbanizing city like</w:t>
      </w:r>
      <w:r>
        <w:t xml:space="preserve"> </w:t>
      </w:r>
      <w:r>
        <w:rPr>
          <w:bCs/>
          <w:b/>
        </w:rPr>
        <w:t xml:space="preserve">Tehran</w:t>
      </w:r>
      <w:r>
        <w:t xml:space="preserve">, understanding local carpentry standards is crucial for ensuring structural integrity, aesthetic continuity with historical Persian architecture, and compliance with contemporary building codes. This report aims to document observations from field studies conducted across various residential and commercial sites in the capital.</w:t>
      </w:r>
    </w:p>
    <w:bookmarkEnd w:id="21"/>
    <w:bookmarkStart w:id="22" w:name="ii.-methodology"/>
    <w:p>
      <w:pPr>
        <w:pStyle w:val="Heading2"/>
      </w:pPr>
      <w:r>
        <w:t xml:space="preserve">II. Methodology</w:t>
      </w:r>
    </w:p>
    <w:p>
      <w:pPr>
        <w:pStyle w:val="FirstParagraph"/>
      </w:pPr>
      <w:r>
        <w:t xml:space="preserve">To gather accurate data regarding carpentry practices in</w:t>
      </w:r>
      <w:r>
        <w:t xml:space="preserve"> </w:t>
      </w:r>
      <w:r>
        <w:rPr>
          <w:bCs/>
          <w:b/>
        </w:rPr>
        <w:t xml:space="preserve">Iran Tehran</w:t>
      </w:r>
      <w:r>
        <w:t xml:space="preserve">, a mixed-methods approach was employed, incorporating the following stages:</w:t>
      </w:r>
    </w:p>
    <w:p>
      <w:pPr>
        <w:numPr>
          <w:ilvl w:val="0"/>
          <w:numId w:val="1001"/>
        </w:numPr>
        <w:pStyle w:val="Compact"/>
      </w:pPr>
      <w:r>
        <w:t xml:space="preserve">On-Site Observations: Direct observation of active construction sites and restoration projects within central</w:t>
      </w:r>
      <w:r>
        <w:t xml:space="preserve"> </w:t>
      </w:r>
      <w:r>
        <w:rPr>
          <w:bCs/>
          <w:b/>
        </w:rPr>
        <w:t xml:space="preserve">Tehran</w:t>
      </w:r>
      <w:r>
        <w:t xml:space="preserve">.</w:t>
      </w:r>
    </w:p>
    <w:p>
      <w:pPr>
        <w:numPr>
          <w:ilvl w:val="0"/>
          <w:numId w:val="1001"/>
        </w:numPr>
        <w:pStyle w:val="Compact"/>
      </w:pPr>
      <w:r>
        <w:t xml:space="preserve">Semi-Structured Interviews: Conversations with local master carpenters (ostads) and apprentices to gain insights into traditional methodologies.</w:t>
      </w:r>
    </w:p>
    <w:p>
      <w:pPr>
        <w:numPr>
          <w:ilvl w:val="0"/>
          <w:numId w:val="1001"/>
        </w:numPr>
        <w:pStyle w:val="Compact"/>
      </w:pPr>
      <w:r>
        <w:t xml:space="preserve">Material Analysis: Examination of wood species, joinery techniques, and finishes used in typical residential projects.</w:t>
      </w:r>
    </w:p>
    <w:bookmarkEnd w:id="22"/>
    <w:bookmarkStart w:id="23" w:name="X5bf3f46e8c197bed438dae59fd72f9c596ea4ad"/>
    <w:p>
      <w:pPr>
        <w:pStyle w:val="Heading2"/>
      </w:pPr>
      <w:r>
        <w:t xml:space="preserve">III. Materials and Environmental Considerations</w:t>
      </w:r>
    </w:p>
    <w:p>
      <w:pPr>
        <w:pStyle w:val="FirstParagraph"/>
      </w:pPr>
      <w:r>
        <w:t xml:space="preserve">In</w:t>
      </w:r>
      <w:r>
        <w:t xml:space="preserve"> </w:t>
      </w:r>
      <w:r>
        <w:rPr>
          <w:bCs/>
          <w:b/>
        </w:rPr>
        <w:t xml:space="preserve">Tehran</w:t>
      </w:r>
      <w:r>
        <w:t xml:space="preserve">, the unique climatic conditions heavily influence carpentry choices. The city experiences hot, dry summers and cold winters with moderate rainfall. Consequently, wood selection is critical for durability against warping and cracking.</w:t>
      </w:r>
    </w:p>
    <w:p>
      <w:pPr>
        <w:numPr>
          <w:ilvl w:val="0"/>
          <w:numId w:val="1002"/>
        </w:numPr>
        <w:pStyle w:val="Compact"/>
      </w:pPr>
      <w:r>
        <w:t xml:space="preserve">Wood Species: Local carpenters in</w:t>
      </w:r>
      <w:r>
        <w:t xml:space="preserve"> </w:t>
      </w:r>
      <w:r>
        <w:rPr>
          <w:bCs/>
          <w:b/>
        </w:rPr>
        <w:t xml:space="preserve">Iran Tehran</w:t>
      </w:r>
      <w:r>
        <w:t xml:space="preserve"> </w:t>
      </w:r>
      <w:r>
        <w:t xml:space="preserve">predominantly utilize native hardwoods such as Persian Walnut (Juglans regia) for fine furniture and high-end cabinetry. Pine is commonly used for structural framing due to its availability, though it requires proper sealing against Tehran’s humidity fluctuations.</w:t>
      </w:r>
    </w:p>
    <w:p>
      <w:pPr>
        <w:numPr>
          <w:ilvl w:val="0"/>
          <w:numId w:val="1002"/>
        </w:numPr>
        <w:pStyle w:val="Compact"/>
      </w:pPr>
      <w:r>
        <w:t xml:space="preserve">Treatment: There is a growing trend in</w:t>
      </w:r>
      <w:r>
        <w:t xml:space="preserve"> </w:t>
      </w:r>
      <w:r>
        <w:rPr>
          <w:bCs/>
          <w:b/>
        </w:rPr>
        <w:t xml:space="preserve">Tehran</w:t>
      </w:r>
      <w:r>
        <w:t xml:space="preserve"> </w:t>
      </w:r>
      <w:r>
        <w:t xml:space="preserve">towards using eco-friendly wood preservatives that meet international safety standards, reflecting the increasing environmental awareness among architects in</w:t>
      </w:r>
      <w:r>
        <w:t xml:space="preserve"> </w:t>
      </w:r>
      <w:r>
        <w:rPr>
          <w:bCs/>
          <w:b/>
        </w:rPr>
        <w:t xml:space="preserve">Iran Tehran</w:t>
      </w:r>
      <w:r>
        <w:t xml:space="preserve">.</w:t>
      </w:r>
    </w:p>
    <w:bookmarkEnd w:id="23"/>
    <w:bookmarkStart w:id="24" w:name="iv.-findings-and-analysis"/>
    <w:p>
      <w:pPr>
        <w:pStyle w:val="Heading2"/>
      </w:pPr>
      <w:r>
        <w:t xml:space="preserve">IV. Findings and Analysis</w:t>
      </w:r>
    </w:p>
    <w:p>
      <w:pPr>
        <w:pStyle w:val="FirstParagraph"/>
      </w:pPr>
      <w:r>
        <w:t xml:space="preserve">The study revealed distinct characteristics of carpentry in</w:t>
      </w:r>
      <w:r>
        <w:t xml:space="preserve"> </w:t>
      </w:r>
      <w:r>
        <w:rPr>
          <w:bCs/>
          <w:b/>
        </w:rPr>
        <w:t xml:space="preserve">Tehran</w:t>
      </w:r>
      <w:r>
        <w:t xml:space="preserve">:</w:t>
      </w:r>
    </w:p>
    <w:p>
      <w:pPr>
        <w:numPr>
          <w:ilvl w:val="0"/>
          <w:numId w:val="1003"/>
        </w:numPr>
        <w:pStyle w:val="Compact"/>
      </w:pPr>
      <w:r>
        <w:t xml:space="preserve">Traditional Techniques: Master craftsmen still employ intricate joinery methods passed down through generations. These techniques, often seen in the restoration of Qajar-era houses, highlight the enduring relevance of traditional</w:t>
      </w:r>
      <w:r>
        <w:t xml:space="preserve"> </w:t>
      </w:r>
      <w:r>
        <w:rPr>
          <w:bCs/>
          <w:b/>
        </w:rPr>
        <w:t xml:space="preserve">Carpenter</w:t>
      </w:r>
      <w:r>
        <w:t xml:space="preserve"> </w:t>
      </w:r>
      <w:r>
        <w:t xml:space="preserve">skills.</w:t>
      </w:r>
    </w:p>
    <w:p>
      <w:pPr>
        <w:numPr>
          <w:ilvl w:val="0"/>
          <w:numId w:val="1003"/>
        </w:numPr>
        <w:pStyle w:val="Compact"/>
      </w:pPr>
      <w:r>
        <w:t xml:space="preserve">Modern Adaptations: In new constructions across</w:t>
      </w:r>
      <w:r>
        <w:t xml:space="preserve"> </w:t>
      </w:r>
      <w:r>
        <w:rPr>
          <w:bCs/>
          <w:b/>
        </w:rPr>
        <w:t xml:space="preserve">Tehran</w:t>
      </w:r>
      <w:r>
        <w:t xml:space="preserve">, there is a shift toward using engineered wood products like MDF and particle board for cost efficiency. However, this comes at the expense of longevity compared to solid wood options.</w:t>
      </w:r>
    </w:p>
    <w:p>
      <w:pPr>
        <w:numPr>
          <w:ilvl w:val="0"/>
          <w:numId w:val="1003"/>
        </w:numPr>
        <w:pStyle w:val="Compact"/>
      </w:pPr>
      <w:r>
        <w:t xml:space="preserve">Labor Dynamics: The hierarchy within carpentry workshops in</w:t>
      </w:r>
      <w:r>
        <w:t xml:space="preserve"> </w:t>
      </w:r>
      <w:r>
        <w:rPr>
          <w:bCs/>
          <w:b/>
        </w:rPr>
        <w:t xml:space="preserve">Iran Tehran</w:t>
      </w:r>
      <w:r>
        <w:t xml:space="preserve"> </w:t>
      </w:r>
      <w:r>
        <w:t xml:space="preserve">remains structured around the master-apprentice relationship, emphasizing hands-on learning over formal education.</w:t>
      </w:r>
    </w:p>
    <w:bookmarkEnd w:id="24"/>
    <w:bookmarkStart w:id="25" w:name="v.-challenges-and-solutions"/>
    <w:p>
      <w:pPr>
        <w:pStyle w:val="Heading2"/>
      </w:pPr>
      <w:r>
        <w:t xml:space="preserve">V. Challenges and Solutions</w:t>
      </w:r>
    </w:p>
    <w:p>
      <w:pPr>
        <w:pStyle w:val="FirstParagraph"/>
      </w:pPr>
      <w:r>
        <w:t xml:space="preserve">Carpentry practices in</w:t>
      </w:r>
      <w:r>
        <w:t xml:space="preserve"> </w:t>
      </w:r>
      <w:r>
        <w:rPr>
          <w:bCs/>
          <w:b/>
        </w:rPr>
        <w:t xml:space="preserve">Tehran</w:t>
      </w:r>
      <w:r>
        <w:t xml:space="preserve"> </w:t>
      </w:r>
      <w:r>
        <w:t xml:space="preserve">face several challenges:</w:t>
      </w:r>
    </w:p>
    <w:p>
      <w:pPr>
        <w:numPr>
          <w:ilvl w:val="0"/>
          <w:numId w:val="1004"/>
        </w:numPr>
        <w:pStyle w:val="Compact"/>
      </w:pPr>
      <w:r>
        <w:t xml:space="preserve">Sanctions on Imports: International sanctions have limited access to high-quality imported tools and specialized machinery. Local carpenters must often improvise or rely on older equipment.</w:t>
      </w:r>
    </w:p>
    <w:p>
      <w:pPr>
        <w:numPr>
          <w:ilvl w:val="0"/>
          <w:numId w:val="1004"/>
        </w:numPr>
        <w:pStyle w:val="Compact"/>
      </w:pPr>
      <w:r>
        <w:t xml:space="preserve">Material Costs: Fluctuating wood prices in</w:t>
      </w:r>
      <w:r>
        <w:t xml:space="preserve"> </w:t>
      </w:r>
      <w:r>
        <w:rPr>
          <w:bCs/>
          <w:b/>
        </w:rPr>
        <w:t xml:space="preserve">Tehran</w:t>
      </w:r>
      <w:r>
        <w:t xml:space="preserve">'s market demand careful planning and waste reduction strategies from local</w:t>
      </w:r>
      <w:r>
        <w:t xml:space="preserve"> </w:t>
      </w:r>
      <w:r>
        <w:rPr>
          <w:bCs/>
          <w:b/>
        </w:rPr>
        <w:t xml:space="preserve">Carpenter</w:t>
      </w:r>
      <w:r>
        <w:t xml:space="preserve"> </w:t>
      </w:r>
      <w:r>
        <w:t xml:space="preserve">shops.</w:t>
      </w:r>
    </w:p>
    <w:p>
      <w:pPr>
        <w:pStyle w:val="FirstParagraph"/>
      </w:pPr>
      <w:r>
        <w:t xml:space="preserve">To address these issues, many workshops are investing in locally manufactured machinery that meets European safety standards while being cost-effective. Additionally, collaborations with design institutes in</w:t>
      </w:r>
      <w:r>
        <w:t xml:space="preserve"> </w:t>
      </w:r>
      <w:r>
        <w:rPr>
          <w:bCs/>
          <w:b/>
        </w:rPr>
        <w:t xml:space="preserve">Tehran</w:t>
      </w:r>
      <w:r>
        <w:t xml:space="preserve"> </w:t>
      </w:r>
      <w:r>
        <w:t xml:space="preserve">are fostering innovative uses of sustainable materials.</w:t>
      </w:r>
    </w:p>
    <w:bookmarkEnd w:id="25"/>
    <w:bookmarkStart w:id="26" w:name="vi.-conclusion-and-recommendations"/>
    <w:p>
      <w:pPr>
        <w:pStyle w:val="Heading2"/>
      </w:pPr>
      <w:r>
        <w:t xml:space="preserve">VI. Conclusion and Recommendations</w:t>
      </w:r>
    </w:p>
    <w:p>
      <w:pPr>
        <w:pStyle w:val="FirstParagraph"/>
      </w:pPr>
      <w:r>
        <w:t xml:space="preserve">In conclusion, the carpentry industry in</w:t>
      </w:r>
      <w:r>
        <w:t xml:space="preserve"> </w:t>
      </w:r>
      <w:r>
        <w:rPr>
          <w:bCs/>
          <w:b/>
        </w:rPr>
        <w:t xml:space="preserve">Iran Tehran</w:t>
      </w:r>
      <w:r>
        <w:t xml:space="preserve"> </w:t>
      </w:r>
      <w:r>
        <w:t xml:space="preserve">reflects a fascinating blend of ancient craftsmanship and modern adaptation. While challenges exist due to economic and logistical constraints, the resilience of local</w:t>
      </w:r>
      <w:r>
        <w:t xml:space="preserve"> </w:t>
      </w:r>
      <w:r>
        <w:rPr>
          <w:bCs/>
          <w:b/>
        </w:rPr>
        <w:t xml:space="preserve">Carpenter</w:t>
      </w:r>
      <w:r>
        <w:t xml:space="preserve"> </w:t>
      </w:r>
      <w:r>
        <w:t xml:space="preserve">communities ensures that high-quality woodworking remains accessible.</w:t>
      </w:r>
    </w:p>
    <w:p>
      <w:pPr>
        <w:pStyle w:val="BodyText"/>
      </w:pPr>
      <w:r>
        <w:t xml:space="preserve">Future efforts should focus on:</w:t>
      </w:r>
    </w:p>
    <w:p>
      <w:pPr>
        <w:numPr>
          <w:ilvl w:val="0"/>
          <w:numId w:val="1005"/>
        </w:numPr>
        <w:pStyle w:val="Compact"/>
      </w:pPr>
      <w:r>
        <w:t xml:space="preserve">Promoting sustainable forestry practices in regions supplying</w:t>
      </w:r>
      <w:r>
        <w:t xml:space="preserve"> </w:t>
      </w:r>
      <w:r>
        <w:rPr>
          <w:bCs/>
          <w:b/>
        </w:rPr>
        <w:t xml:space="preserve">Tehran</w:t>
      </w:r>
      <w:r>
        <w:t xml:space="preserve">.</w:t>
      </w:r>
    </w:p>
    <w:p>
      <w:pPr>
        <w:numPr>
          <w:ilvl w:val="0"/>
          <w:numId w:val="1005"/>
        </w:numPr>
        <w:pStyle w:val="Compact"/>
      </w:pPr>
      <w:r>
        <w:t xml:space="preserve">Enhancing vocational training programs to bridge the gap between traditional skills and modern technology.</w:t>
      </w:r>
    </w:p>
    <w:p>
      <w:pPr>
        <w:numPr>
          <w:ilvl w:val="0"/>
          <w:numId w:val="1005"/>
        </w:numPr>
        <w:pStyle w:val="Compact"/>
      </w:pPr>
      <w:r>
        <w:t xml:space="preserve">Encouraging international collaborations to bring advanced carpentry technologies into</w:t>
      </w:r>
      <w:r>
        <w:t xml:space="preserve"> </w:t>
      </w:r>
      <w:r>
        <w:rPr>
          <w:bCs/>
          <w:b/>
        </w:rPr>
        <w:t xml:space="preserve">Iran Tehran</w:t>
      </w:r>
      <w:r>
        <w:t xml:space="preserve">.</w:t>
      </w:r>
    </w:p>
    <w:bookmarkEnd w:id="26"/>
    <w:bookmarkStart w:id="27" w:name="vii.-references-and-appendices"/>
    <w:p>
      <w:pPr>
        <w:pStyle w:val="Heading2"/>
      </w:pPr>
      <w:r>
        <w:t xml:space="preserve">VII. References and Appendices</w:t>
      </w:r>
    </w:p>
    <w:p>
      <w:pPr>
        <w:pStyle w:val="FirstParagraph"/>
      </w:pPr>
      <w:r>
        <w:t xml:space="preserve">[Note: In a full academic document, references would include citations from local architectural journals, government building codes in</w:t>
      </w:r>
      <w:r>
        <w:t xml:space="preserve"> </w:t>
      </w:r>
      <w:r>
        <w:rPr>
          <w:bCs/>
          <w:b/>
        </w:rPr>
        <w:t xml:space="preserve">Iran Tehran</w:t>
      </w:r>
      <w:r>
        <w:t xml:space="preserve">, and interviews with industry experts. Appendix A includes detailed sketches of traditional joinery methods observed during the field study in</w:t>
      </w:r>
      <w:r>
        <w:t xml:space="preserve"> </w:t>
      </w:r>
      <w:r>
        <w:rPr>
          <w:bCs/>
          <w:b/>
        </w:rPr>
        <w:t xml:space="preserve">Tehran</w:t>
      </w:r>
      <w:r>
        <w:t xml:space="preserve">.</w:t>
      </w:r>
    </w:p>
    <w:p>
      <w:pPr>
        <w:pStyle w:val="BodyText"/>
      </w:pPr>
      <w:r>
        <w:t xml:space="preserve">This lab report underscores the importance of recognizing carpentry not merely as a trade but as an integral part of</w:t>
      </w:r>
      <w:r>
        <w:t xml:space="preserve"> </w:t>
      </w:r>
      <w:r>
        <w:rPr>
          <w:bCs/>
          <w:b/>
        </w:rPr>
        <w:t xml:space="preserve">Iran Tehran</w:t>
      </w:r>
      <w:r>
        <w:t xml:space="preserve">'s cultural and architectural heritage. By documenting these practices, we hope to inspire further research and improvement in the field.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Practices in Iran Tehran: A Technical Lab Report</dc:title>
  <dc:creator/>
  <dc:language>en</dc:language>
  <cp:keywords/>
  <dcterms:created xsi:type="dcterms:W3CDTF">2026-07-29T10:23:57Z</dcterms:created>
  <dcterms:modified xsi:type="dcterms:W3CDTF">2026-07-29T10:23:57Z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