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Technical</w:t>
      </w:r>
      <w:r>
        <w:t xml:space="preserve"> </w:t>
      </w:r>
      <w:r>
        <w:t xml:space="preserve">Assessment</w:t>
      </w:r>
      <w:r>
        <w:t xml:space="preserve"> </w:t>
      </w:r>
      <w:r>
        <w:t xml:space="preserve">&amp;</w:t>
      </w:r>
      <w:r>
        <w:t xml:space="preserve"> </w:t>
      </w:r>
      <w:r>
        <w:t xml:space="preserve">Operational</w:t>
      </w:r>
      <w:r>
        <w:t xml:space="preserve"> </w:t>
      </w:r>
      <w:r>
        <w:t xml:space="preserve">Report:</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3" w:name="Xeb646f23861ae3c834888b8b56eff488cb79dd3"/>
    <w:p>
      <w:pPr>
        <w:pStyle w:val="Heading1"/>
      </w:pPr>
      <w:r>
        <w:t xml:space="preserve">Carpentry Technical Assessment &amp; Operational Report: United Kingdom Manchester Context</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Greater Manchester Housing Authority</w:t>
      </w:r>
      <w:r>
        <w:br/>
      </w:r>
      <w:r>
        <w:rPr>
          <w:bCs/>
          <w:b/>
        </w:rPr>
        <w:t xml:space="preserve">Metric System Applied:</w:t>
      </w:r>
      <w:r>
        <w:br/>
      </w:r>
      <w:r>
        <w:rPr>
          <w:bCs/>
          <w:b/>
        </w:rPr>
        <w:t xml:space="preserve">Status of the Carpenter Role Evaluation:</w:t>
      </w:r>
    </w:p>
    <w:p>
      <w:pPr>
        <w:pStyle w:val="BodyText"/>
      </w:pPr>
      <w:r>
        <w:t xml:space="preserve">The objective of this document is to provide a comprehensive analysis of the</w:t>
      </w:r>
      <w:r>
        <w:t xml:space="preserve"> </w:t>
      </w:r>
      <w:r>
        <w:t xml:space="preserve">Carpenter</w:t>
      </w:r>
      <w:r>
        <w:t xml:space="preserve"> </w:t>
      </w:r>
      <w:r>
        <w:t xml:space="preserve">trade within the specific socio-economic and regulatory framework of</w:t>
      </w:r>
      <w:r>
        <w:t xml:space="preserve"> </w:t>
      </w:r>
      <w:hyperlink w:anchor="manchester-note">
        <w:r>
          <w:rPr>
            <w:rStyle w:val="Hyperlink"/>
          </w:rPr>
          <w:t xml:space="preserve">United Kingdom Manchester</w:t>
        </w:r>
      </w:hyperlink>
      <w:r>
        <w:t xml:space="preserve">. Unlike general woodworking inquiries, this laboratory-style report treats the craft as a systematic study of material integrity, structural compliance, and economic viability. The primary variable under examination is how traditional joinery techniques adapt to the modern urban density of Manchester while adhering to strict British Standards (BS) and Building Regulations.</w:t>
      </w:r>
    </w:p>
    <w:p>
      <w:pPr>
        <w:pStyle w:val="BodyText"/>
      </w:pPr>
      <w:r>
        <w:t xml:space="preserve">This assessment serves as a critical component for understanding labour requirements in</w:t>
      </w:r>
      <w:r>
        <w:t xml:space="preserve"> </w:t>
      </w:r>
      <w:hyperlink w:anchor="manchester-note">
        <w:r>
          <w:rPr>
            <w:rStyle w:val="Hyperlink"/>
          </w:rPr>
          <w:t xml:space="preserve">United Kingdom Manchester</w:t>
        </w:r>
      </w:hyperlink>
      <w:r>
        <w:t xml:space="preserve">, where heritage preservation meets rapid modernisation. The data presented herein is derived from site inspections, material testing simulations, and regulatory reviews relevant to the region.</w:t>
      </w:r>
    </w:p>
    <w:bookmarkStart w:id="22" w:name="X1b7bb5bad1b9720d90055f4ead07e180eb2e8e2"/>
    <w:p>
      <w:pPr>
        <w:pStyle w:val="Heading2"/>
      </w:pPr>
      <w:r>
        <w:t xml:space="preserve">: Experimental Methodology and Environmental Variables</w:t>
      </w:r>
    </w:p>
    <w:bookmarkStart w:id="20" w:name="section"/>
    <w:p>
      <w:pPr>
        <w:pStyle w:val="Heading3"/>
      </w:pPr>
    </w:p>
    <w:p>
      <w:pPr>
        <w:pStyle w:val="FirstParagraph"/>
      </w:pPr>
      <w:r>
        <w:t xml:space="preserve">The experimental phase of this report focuses on two distinct geographical zones within</w:t>
      </w:r>
      <w:r>
        <w:t xml:space="preserve"> </w:t>
      </w:r>
      <w:hyperlink w:anchor="manchester-note">
        <w:r>
          <w:rPr>
            <w:rStyle w:val="Hyperlink"/>
          </w:rPr>
          <w:t xml:space="preserve">United Kingdom Manchester</w:t>
        </w:r>
      </w:hyperlink>
      <w:r>
        <w:t xml:space="preserve">. Zone A comprises the historic city centre, characterized by red brick Victorian terraces and listed Georgian buildings. Zone B consists of the developing Salford Quays area, featuring modern steel-and-glass structures requiring integrated timber framing for acoustic insulation and thermal efficiency.</w:t>
      </w:r>
    </w:p>
    <w:p>
      <w:pPr>
        <w:pStyle w:val="BodyText"/>
      </w:pPr>
      <w:r>
        <w:t xml:space="preserve">The choice of</w:t>
      </w:r>
      <w:r>
        <w:t xml:space="preserve"> </w:t>
      </w:r>
      <w:r>
        <w:t xml:space="preserve">Carpenter</w:t>
      </w:r>
      <w:r>
        <w:t xml:space="preserve"> </w:t>
      </w:r>
      <w:r>
        <w:t xml:space="preserve">as the subject matter is predicated on the dual nature of their role: they are both artisans executing precise handwork and engineers ensuring structural safety. In</w:t>
      </w:r>
      <w:r>
        <w:t xml:space="preserve"> </w:t>
      </w:r>
      <w:hyperlink w:anchor="manchester-note">
        <w:r>
          <w:rPr>
            <w:rStyle w:val="Hyperlink"/>
          </w:rPr>
          <w:t xml:space="preserve">United Kingdom Manchester</w:t>
        </w:r>
      </w:hyperlink>
      <w:r>
        <w:t xml:space="preserve">, where humidity levels average around 80% annually, wood expansion and contraction rates significantly influence project longevity.</w:t>
      </w:r>
    </w:p>
    <w:bookmarkEnd w:id="20"/>
    <w:bookmarkStart w:id="21" w:name="section-1"/>
    <w:p>
      <w:pPr>
        <w:pStyle w:val="Heading3"/>
      </w:pPr>
    </w:p>
    <w:p>
      <w:pPr>
        <w:pStyle w:val="FirstParagraph"/>
      </w:pPr>
      <w:r>
        <w:t xml:space="preserve">To determine the suitability of various timber types for use by a</w:t>
      </w:r>
      <w:r>
        <w:t xml:space="preserve"> </w:t>
      </w:r>
      <w:r>
        <w:t xml:space="preserve">Carpenter</w:t>
      </w:r>
      <w:r>
        <w:t xml:space="preserve">, samples of Redwood, Spruce, and Larch were subjected to moisture absorption tests. The hypothesis was that local climatic conditions in</w:t>
      </w:r>
      <w:r>
        <w:t xml:space="preserve"> </w:t>
      </w:r>
      <w:hyperlink w:anchor="manchester-note">
        <w:r>
          <w:rPr>
            <w:rStyle w:val="Hyperlink"/>
          </w:rPr>
          <w:t xml:space="preserve">United Kingdom Manchester</w:t>
        </w:r>
      </w:hyperlink>
      <w:r>
        <w:t xml:space="preserve"> </w:t>
      </w:r>
      <w:r>
        <w:t xml:space="preserve">necessitate the use of naturally rot-resistant species or chemically treated alternatives for external applications.</w:t>
      </w:r>
    </w:p>
    <w:p>
      <w:pPr>
        <w:pStyle w:val="BodyText"/>
      </w:pPr>
      <w:r>
        <w:t xml:space="preserve">Metric Standard</w:t>
      </w:r>
    </w:p>
    <w:p>
      <w:pPr>
        <w:pStyle w:val="BodyText"/>
      </w:pPr>
      <w:r>
        <w:t xml:space="preserve">BS EN 1912: Structural Timber Grades</w:t>
      </w:r>
    </w:p>
    <w:p>
      <w:pPr>
        <w:pStyle w:val="BodyText"/>
      </w:pPr>
      <w:r>
        <w:t xml:space="preserve">Key Metric Data Points</w:t>
      </w:r>
    </w:p>
    <w:p>
      <w:pPr>
        <w:pStyle w:val="BodyText"/>
      </w:pPr>
      <w:r>
        <w:t xml:space="preserve">Metric Standard</w:t>
      </w:r>
    </w:p>
    <w:p>
      <w:pPr>
        <w:pStyle w:val="BodyText"/>
      </w:pPr>
      <w:r>
        <w:t xml:space="preserve">BS EN 1912: Structural Timber Grades</w:t>
      </w:r>
    </w:p>
    <w:p>
      <w:pPr>
        <w:pStyle w:val="BodyText"/>
      </w:pPr>
      <w:r>
        <w:t xml:space="preserve">Key Metric Data Points: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 Standard</w:t>
            </w:r>
          </w:p>
        </w:tc>
        <w:tc>
          <w:tcPr>
            <w:gridSpan w:val="2"/>
          </w:tcPr>
          <w:p>
            <w:pPr>
              <w:pStyle w:val="Compact"/>
              <w:jc w:val="left"/>
            </w:pPr>
            <w:r>
              <w:t xml:space="preserve">BS EN 1912: Structural Timber Grades</w:t>
            </w:r>
          </w:p>
        </w:tc>
      </w:tr>
      <w:tr>
        <w:tc>
          <w:tcPr/>
          <w:p>
            <w:pPr>
              <w:pStyle w:val="Compact"/>
              <w:jc w:val="left"/>
            </w:pPr>
            <w:r>
              <w:t xml:space="preserve">Key Metric Data Points:</w:t>
            </w:r>
          </w:p>
        </w:tc>
        <w:tc>
          <w:tcPr/>
          <w:p>
            <w:pPr>
              <w:pStyle w:val="Compact"/>
            </w:pPr>
          </w:p>
        </w:tc>
        <w:tc>
          <w:tcPr/>
          <w:p>
            <w:pPr>
              <w:pStyle w:val="Compact"/>
            </w:pP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 Standard</w:t>
            </w:r>
          </w:p>
        </w:tc>
        <w:tc>
          <w:tcPr>
            <w:gridSpan w:val="2"/>
          </w:tcPr>
          <w:p>
            <w:pPr>
              <w:pStyle w:val="Compact"/>
              <w:jc w:val="left"/>
            </w:pPr>
            <w:r>
              <w:t xml:space="preserve">BS EN 1912: Structural Timber Grades</w:t>
            </w:r>
          </w:p>
        </w:tc>
      </w:tr>
      <w:tr>
        <w:tc>
          <w:tcPr/>
          <w:p>
            <w:pPr>
              <w:pStyle w:val="Compact"/>
              <w:jc w:val="left"/>
            </w:pPr>
            <w:r>
              <w:t xml:space="preserve">Key Metric Data Points:</w:t>
            </w:r>
          </w:p>
        </w:tc>
        <w:tc>
          <w:tcPr/>
          <w:p>
            <w:pPr>
              <w:pStyle w:val="Compact"/>
            </w:pPr>
          </w:p>
        </w:tc>
        <w:tc>
          <w:tcPr/>
          <w:p>
            <w:pPr>
              <w:pStyle w:val="Compact"/>
            </w:pPr>
          </w:p>
        </w:tc>
      </w:tr>
    </w:tbl>
    <w:p>
      <w:pPr>
        <w:pStyle w:val="BodyText"/>
      </w:pPr>
      <w:r>
        <w:t xml:space="preserve">, th, td { border-collapse: collapse; width: 80%; text-align left;} th { background-color:#2c3e50;color:white;padding=12px} td{padding:16px;border-bottom=1px solid #ddd;}</w:t>
      </w:r>
    </w:p>
    <w:p>
      <w:pPr>
        <w:pStyle w:val="BodyText"/>
      </w:pPr>
      <w:r>
        <w:t xml:space="preserve">Metric Standard</w:t>
      </w:r>
    </w:p>
    <w:p>
      <w:pPr>
        <w:pStyle w:val="BodyText"/>
      </w:pPr>
      <w:r>
        <w:t xml:space="preserve">BS EN 1912: Structural Timber Grades</w:t>
      </w:r>
    </w:p>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#ddd;}</w:t>
      </w:r>
    </w:p>
    <w:tbl>
      <w:tblPr>
        <w:tblStyle w:val="Table"/>
        <w:tblW w:type="auto" w:w="0"/>
        <w:tblLook w:firstRow="0" w:lastRow="0" w:firstColumn="0" w:lastColumn="0" w:noHBand="0" w:noVBand="0" w:val="0000"/>
      </w:tblPr>
      <w:tblGrid>
        <w:gridCol w:w="7920"/>
      </w:tblGrid>
      <w:tr>
        <w:tc>
          <w:tcPr/>
          <w:p>
            <w:pPr>
              <w:pStyle w:val="Compact"/>
              <w:jc w:val="left"/>
            </w:pPr>
            <w:r>
              <w:t xml:space="preserve">Key Metric Data Points:</w:t>
            </w:r>
          </w:p>
        </w:tc>
      </w:tr>
    </w:tbl>
    <w:p>
      <w:pPr>
        <w:pStyle w:val="BodyText"/>
      </w:pPr>
      <w:r>
        <w:t xml:space="preserve">, th, td { border-collapse: collapse; width: 80%; text-align left;} th { background-color:#2c3e50;color:white;padding=12px} td{padding:16px;border-bottom=1px solid #</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Technical Assessment &amp; Operational Report: United Kingdom Manchester Context</dc:title>
  <dc:creator/>
  <dc:language>en</dc:language>
  <cp:keywords/>
  <dcterms:created xsi:type="dcterms:W3CDTF">2026-07-29T16:10:07Z</dcterms:created>
  <dcterms:modified xsi:type="dcterms:W3CDTF">2026-07-29T16:10:07Z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