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b73c980ea2c5a59ba0c0c8b6e6760d4a78b3eb"/>
    <w:p>
      <w:pPr>
        <w:pStyle w:val="Heading1"/>
      </w:pPr>
      <w:r>
        <w:t xml:space="preserve">Laboratory Report on the Implementation of Chef Automation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IT Infrastructure Department, Frankfurt Branch</w:t>
      </w:r>
      <w:r>
        <w:br/>
      </w:r>
      <w:r>
        <w:rPr>
          <w:bCs/>
          <w:b/>
        </w:rPr>
        <w:t xml:space="preserve">From:</w:t>
      </w:r>
      <w:r>
        <w:t xml:space="preserve"> </w:t>
      </w:r>
      <w:r>
        <w:t xml:space="preserve">DevOps Engineering Team</w:t>
      </w:r>
      <w:r>
        <w:br/>
      </w:r>
      <w:r>
        <w:rPr>
          <w:vertAlign w:val="subscript"/>
        </w:rPr>
        <w:t xml:space="preserve">Ject: Comprehensive Analysis of Chef Configuration Management Suitability for German Compliance Standards</w:t>
      </w:r>
      <w:r>
        <w:br/>
      </w:r>
      <w:r>
        <w:br/>
      </w:r>
      <w:r>
        <w:br/>
      </w:r>
    </w:p>
    <w:p>
      <w:pPr>
        <w:pStyle w:val="BodyText"/>
      </w:pPr>
      <w:r>
        <w:t xml:space="preserve">{{{{{{{{{</w:t>
      </w:r>
    </w:p>
    <w:bookmarkStart w:id="20" w:name="executive-summary"/>
    <w:p>
      <w:pPr>
        <w:pStyle w:val="Heading2"/>
      </w:pPr>
      <w:r>
        <w:t xml:space="preserve">1. Executive Summary</w:t>
      </w:r>
    </w:p>
    <w:p>
      <w:pPr>
        <w:pStyle w:val="FirstParagraph"/>
      </w:pPr>
      <w:r>
        <w:t xml:space="preserve">The primary objective of this laboratory report is to evaluate the efficacy, security, and compliance adherence of</w:t>
      </w:r>
      <w:r>
        <w:t xml:space="preserve"> </w:t>
      </w:r>
      <w:r>
        <w:rPr>
          <w:bCs/>
          <w:b/>
        </w:rPr>
        <w:t xml:space="preserve">Chef</w:t>
      </w:r>
      <w:r>
        <w:t xml:space="preserve"> </w:t>
      </w:r>
      <w:r>
        <w:t xml:space="preserve">as a configuration management tool within the specific operational context of</w:t>
      </w:r>
      <w:r>
        <w:t xml:space="preserve"> </w:t>
      </w:r>
      <w:r>
        <w:rPr>
          <w:bCs/>
          <w:b/>
        </w:rPr>
        <w:t xml:space="preserve">Germany Frankfurt</w:t>
      </w:r>
      <w:r>
        <w:t xml:space="preserve">. As organizations increasingly migrate their infrastructure to cloud environments, particularly those hosted in the European Union, ensuring strict adherence to local regulatory frameworks such as the General Data Protection Regulation (GDPR) is paramount. This report details our findings from a series of controlled experiments conducted on virtual machines located in the Frankfurt data centers. The results indicate that while</w:t>
      </w:r>
      <w:r>
        <w:t xml:space="preserve"> </w:t>
      </w:r>
      <w:r>
        <w:rPr>
          <w:bCs/>
          <w:b/>
        </w:rPr>
        <w:t xml:space="preserve">Chef</w:t>
      </w:r>
      <w:r>
        <w:t xml:space="preserve"> </w:t>
      </w:r>
      <w:r>
        <w:t xml:space="preserve">offers robust scalability and declarative language capabilities, its implementation in</w:t>
      </w:r>
      <w:r>
        <w:t xml:space="preserve"> </w:t>
      </w:r>
      <w:r>
        <w:rPr>
          <w:bCs/>
          <w:b/>
        </w:rPr>
        <w:t xml:space="preserve">Germany Frankfurt</w:t>
      </w:r>
      <w:r>
        <w:t xml:space="preserve"> </w:t>
      </w:r>
      <w:r>
        <w:t xml:space="preserve">requires specific tuning regarding data residency and audit logging to meet local legal standards.</w:t>
      </w:r>
    </w:p>
    <w:p>
      <w:pPr>
        <w:pStyle w:val="BodyText"/>
      </w:pPr>
      <w:r>
        <w:t xml:space="preserve">{{{{{{{</w:t>
      </w:r>
    </w:p>
    <w:bookmarkEnd w:id="20"/>
    <w:bookmarkStart w:id="21" w:name="introduction"/>
    <w:p>
      <w:pPr>
        <w:pStyle w:val="Heading2"/>
      </w:pPr>
      <w:r>
        <w:t xml:space="preserve">2. Introduction</w:t>
      </w:r>
    </w:p>
    <w:p>
      <w:pPr>
        <w:pStyle w:val="FirstParagraph"/>
      </w:pPr>
      <w:r>
        <w:t xml:space="preserve">In the modern landscape of IT infrastructure automation, the need for reliable, repeatable, and compliant system configuration is more critical than ever.</w:t>
      </w:r>
      <w:r>
        <w:t xml:space="preserve"> </w:t>
      </w:r>
      <w:r>
        <w:rPr>
          <w:bCs/>
          <w:b/>
        </w:rPr>
        <w:t xml:space="preserve">Chef</w:t>
      </w:r>
      <w:r>
        <w:t xml:space="preserve"> </w:t>
      </w:r>
      <w:r>
        <w:t xml:space="preserve">has long been established as a leading platform for infrastructure as code (IaC). However, deploying any third-party automation tool involves rigorous scrutiny regarding data sovereignty and security protocols. The city of</w:t>
      </w:r>
      <w:r>
        <w:t xml:space="preserve"> </w:t>
      </w:r>
      <w:r>
        <w:rPr>
          <w:bCs/>
          <w:b/>
        </w:rPr>
        <w:t xml:space="preserve">Germany Frankfurt</w:t>
      </w:r>
      <w:r>
        <w:t xml:space="preserve">, hosting major cloud provider regions such as AWS eu-central-1 and Azure West Europe/Frankfurt zones, represents a high-stakes environment for European enterprises.</w:t>
      </w:r>
    </w:p>
    <w:p>
      <w:pPr>
        <w:pStyle w:val="BodyText"/>
      </w:pPr>
      <w:r>
        <w:t xml:space="preserve">{{{{{{{</w:t>
      </w:r>
    </w:p>
    <w:p>
      <w:pPr>
        <w:pStyle w:val="BodyText"/>
      </w:pPr>
      <w:r>
        <w:t xml:space="preserve">This lab report aims to bridge the gap between technical functionality and regulatory compliance. By focusing on</w:t>
      </w:r>
      <w:r>
        <w:t xml:space="preserve"> </w:t>
      </w:r>
      <w:r>
        <w:rPr>
          <w:bCs/>
          <w:b/>
        </w:rPr>
        <w:t xml:space="preserve">Chef</w:t>
      </w:r>
      <w:r>
        <w:t xml:space="preserve">, we seek to determine if it can serve as the backbone for infrastructure automation in</w:t>
      </w:r>
      <w:r>
        <w:t xml:space="preserve"> </w:t>
      </w:r>
      <w:r>
        <w:rPr>
          <w:bCs/>
          <w:b/>
        </w:rPr>
        <w:t xml:space="preserve">Germany Frankfurt</w:t>
      </w:r>
      <w:r>
        <w:t xml:space="preserve"> </w:t>
      </w:r>
      <w:r>
        <w:t xml:space="preserve">without violating German data protection laws or compromising system integrity. The scope of this study includes performance benchmarking, security auditing, and GDPR alignment verification.</w:t>
      </w:r>
    </w:p>
    <w:p>
      <w:pPr>
        <w:pStyle w:val="BodyText"/>
      </w:pPr>
      <w:r>
        <w:t xml:space="preserve">{{{{{{{</w:t>
      </w:r>
    </w:p>
    <w:bookmarkEnd w:id="21"/>
    <w:bookmarkStart w:id="22" w:name="methodology"/>
    <w:p>
      <w:pPr>
        <w:pStyle w:val="Heading2"/>
      </w:pPr>
      <w:r>
        <w:t xml:space="preserve">3. Methodology</w:t>
      </w:r>
    </w:p>
    <w:p>
      <w:pPr>
        <w:pStyle w:val="FirstParagraph"/>
      </w:pPr>
      <w:r>
        <w:t xml:space="preserve">The laboratory tests were conducted using a controlled environment mirroring production standards in</w:t>
      </w:r>
      <w:r>
        <w:t xml:space="preserve"> </w:t>
      </w:r>
      <w:r>
        <w:rPr>
          <w:bCs/>
          <w:b/>
        </w:rPr>
        <w:t xml:space="preserve">Germany Frankfurt</w:t>
      </w:r>
      <w:r>
        <w:t xml:space="preserve">. The methodology involved four key phases:</w:t>
      </w:r>
    </w:p>
    <w:p>
      <w:pPr>
        <w:pStyle w:val="BodyText"/>
      </w:pPr>
      <w:r>
        <w:t xml:space="preserve">{{{{{{{</w:t>
      </w:r>
    </w:p>
    <w:p>
      <w:pPr>
        <w:numPr>
          <w:ilvl w:val="0"/>
          <w:numId w:val="1001"/>
        </w:numPr>
        <w:pStyle w:val="Compact"/>
      </w:pPr>
      <w:r>
        <w:rPr>
          <w:bCs/>
          <w:b/>
        </w:rPr>
        <w:t xml:space="preserve">Environment Setup:</w:t>
      </w:r>
      <w:r>
        <w:t xml:space="preserve"> </w:t>
      </w:r>
      <w:r>
        <w:t xml:space="preserve">We provisioned three Linux-based servers (Ubuntu 22.04 LTS) within the Frankfurt availability zones to simulate a typical web application stack.</w:t>
      </w:r>
    </w:p>
    <w:p>
      <w:pPr>
        <w:pStyle w:val="FirstParagraph"/>
      </w:pPr>
      <w:r>
        <w:t xml:space="preserve">{{{{{{{</w:t>
      </w:r>
    </w:p>
    <w:p>
      <w:pPr>
        <w:numPr>
          <w:ilvl w:val="0"/>
          <w:numId w:val="1002"/>
        </w:numPr>
        <w:pStyle w:val="Compact"/>
      </w:pPr>
      <w:r>
        <w:rPr>
          <w:bCs/>
          <w:b/>
        </w:rPr>
        <w:t xml:space="preserve">Chef Deployment:</w:t>
      </w:r>
      <w:r>
        <w:t xml:space="preserve"> </w:t>
      </w:r>
      <w:r>
        <w:t xml:space="preserve">A Chef Infra Server was installed locally to ensure data residency compliance, avoiding external cloud dependency for state management where possible.</w:t>
      </w:r>
    </w:p>
    <w:p>
      <w:pPr>
        <w:pStyle w:val="FirstParagraph"/>
      </w:pPr>
      <w:r>
        <w:t xml:space="preserve">{{{{{{{</w:t>
      </w:r>
    </w:p>
    <w:p>
      <w:pPr>
        <w:numPr>
          <w:ilvl w:val="0"/>
          <w:numId w:val="1003"/>
        </w:numPr>
        <w:pStyle w:val="Compact"/>
      </w:pPr>
      <w:r>
        <w:rPr>
          <w:bCs/>
          <w:b/>
        </w:rPr>
        <w:t xml:space="preserve">Recipe Development:</w:t>
      </w:r>
      <w:r>
        <w:t xml:space="preserve"> </w:t>
      </w:r>
      <w:r>
        <w:t xml:space="preserve">Custom recipes were written to manage Nginx web servers, PostgreSQL databases, and SSL certificate installations. These recipes were designed to enforce security best practices relevant to German financial and commercial sectors.</w:t>
      </w:r>
    </w:p>
    <w:p>
      <w:pPr>
        <w:pStyle w:val="FirstParagraph"/>
      </w:pPr>
      <w:r>
        <w:t xml:space="preserve">{{{{{{{</w:t>
      </w:r>
    </w:p>
    <w:p>
      <w:pPr>
        <w:numPr>
          <w:ilvl w:val="0"/>
          <w:numId w:val="1004"/>
        </w:numPr>
        <w:pStyle w:val="Compact"/>
      </w:pPr>
      <w:r>
        <w:rPr>
          <w:bCs/>
          <w:b/>
        </w:rPr>
        <w:t xml:space="preserve">Compliance Testing:</w:t>
      </w:r>
      <w:r>
        <w:t xml:space="preserve"> </w:t>
      </w:r>
      <w:r>
        <w:t xml:space="preserve">We utilized InSpec tests integrated with</w:t>
      </w:r>
      <w:r>
        <w:t xml:space="preserve"> </w:t>
      </w:r>
      <w:r>
        <w:rPr>
          <w:bCs/>
          <w:b/>
        </w:rPr>
        <w:t xml:space="preserve">Chef</w:t>
      </w:r>
      <w:r>
        <w:t xml:space="preserve"> </w:t>
      </w:r>
      <w:r>
        <w:t xml:space="preserve">to verify that the configured servers met specific GDPR requirements, such as encryption at rest and access control logging.</w:t>
      </w:r>
    </w:p>
    <w:p>
      <w:pPr>
        <w:pStyle w:val="FirstParagraph"/>
      </w:pPr>
      <w:r>
        <w:t xml:space="preserve">{{{{{{{</w:t>
      </w:r>
    </w:p>
    <w:p>
      <w:pPr>
        <w:pStyle w:val="BodyText"/>
      </w:pPr>
      <w:r>
        <w:t xml:space="preserve">All operations were monitored using Chef Workstation logs and system-level audit tools to track data flow between nodes and the server.</w:t>
      </w:r>
    </w:p>
    <w:p>
      <w:pPr>
        <w:pStyle w:val="BodyText"/>
      </w:pPr>
      <w:r>
        <w:t xml:space="preserve">{{{{{{{</w:t>
      </w:r>
    </w:p>
    <w:bookmarkEnd w:id="22"/>
    <w:bookmarkStart w:id="26" w:name="results"/>
    <w:p>
      <w:pPr>
        <w:pStyle w:val="Heading2"/>
      </w:pPr>
      <w:r>
        <w:t xml:space="preserve">4. Results</w:t>
      </w:r>
    </w:p>
    <w:p>
      <w:pPr>
        <w:pStyle w:val="FirstParagraph"/>
      </w:pPr>
      <w:r>
        <w:t xml:space="preserve">The execution of</w:t>
      </w:r>
      <w:r>
        <w:t xml:space="preserve"> </w:t>
      </w:r>
      <w:r>
        <w:rPr>
          <w:bCs/>
          <w:b/>
        </w:rPr>
        <w:t xml:space="preserve">Chef</w:t>
      </w:r>
      <w:r>
        <w:t xml:space="preserve"> </w:t>
      </w:r>
      <w:r>
        <w:t xml:space="preserve">in the</w:t>
      </w:r>
      <w:r>
        <w:t xml:space="preserve"> </w:t>
      </w:r>
      <w:r>
        <w:rPr>
          <w:bCs/>
          <w:b/>
        </w:rPr>
        <w:t xml:space="preserve">Germany Frankfurt</w:t>
      </w:r>
      <w:r>
        <w:t xml:space="preserve"> </w:t>
      </w:r>
      <w:r>
        <w:t xml:space="preserve">environment yielded several significant findings regarding performance, security, and compliance.</w:t>
      </w:r>
    </w:p>
    <w:p>
      <w:pPr>
        <w:pStyle w:val="BodyText"/>
      </w:pPr>
      <w:r>
        <w:t xml:space="preserve">{{{{{{{</w:t>
      </w:r>
    </w:p>
    <w:bookmarkStart w:id="23" w:name="performance-and-latency"/>
    <w:p>
      <w:pPr>
        <w:pStyle w:val="Heading3"/>
      </w:pPr>
      <w:r>
        <w:t xml:space="preserve">4.1 Performance and Latency</w:t>
      </w:r>
    </w:p>
    <w:p>
      <w:pPr>
        <w:pStyle w:val="FirstParagraph"/>
      </w:pPr>
      <w:r>
        <w:t xml:space="preserve">Benchmarking revealed that infrastructure provisioning using</w:t>
      </w:r>
    </w:p>
    <w:p>
      <w:pPr>
        <w:pStyle w:val="BodyText"/>
      </w:pPr>
      <w:r>
        <w:t xml:space="preserve">Chef completed in an average of 4 minutes per node cycle. This is a substantial improvement over manual configuration, which averaged 25 minutes. However, latency between the Chef Server and client nodes remained low (under 10ms), indicating that the physical location within</w:t>
      </w:r>
      <w:r>
        <w:t xml:space="preserve"> </w:t>
      </w:r>
      <w:r>
        <w:rPr>
          <w:bCs/>
          <w:b/>
        </w:rPr>
        <w:t xml:space="preserve">Germany Frankfurt</w:t>
      </w:r>
      <w:r>
        <w:t xml:space="preserve"> </w:t>
      </w:r>
      <w:r>
        <w:t xml:space="preserve">does not introduce network bottlenecks for configuration data synchronization.</w:t>
      </w:r>
    </w:p>
    <w:p>
      <w:pPr>
        <w:pStyle w:val="BodyText"/>
      </w:pPr>
      <w:r>
        <w:t xml:space="preserve">{{{{{{{</w:t>
      </w:r>
    </w:p>
    <w:bookmarkEnd w:id="23"/>
    <w:bookmarkStart w:id="24" w:name="security-and-data-residency"/>
    <w:p>
      <w:pPr>
        <w:pStyle w:val="Heading3"/>
      </w:pPr>
      <w:r>
        <w:t xml:space="preserve">4.2 Security and Data Residency</w:t>
      </w:r>
    </w:p>
    <w:p>
      <w:pPr>
        <w:pStyle w:val="FirstParagraph"/>
      </w:pPr>
      <w:r>
        <w:t xml:space="preserve">A critical aspect of this lab was verifying where configuration data is stored. Standard cloud-hosted Chef solutions often store state information outside the EU. Our local deployment confirmed that all sensitive node attributes, including database credentials and API keys, remained within the</w:t>
      </w:r>
      <w:r>
        <w:t xml:space="preserve"> </w:t>
      </w:r>
      <w:r>
        <w:rPr>
          <w:bCs/>
          <w:b/>
        </w:rPr>
        <w:t xml:space="preserve">Germany Frankfurt</w:t>
      </w:r>
      <w:r>
        <w:t xml:space="preserve"> </w:t>
      </w:r>
      <w:r>
        <w:t xml:space="preserve">data center boundaries. This was a crucial finding for our compliance team.</w:t>
      </w:r>
    </w:p>
    <w:p>
      <w:pPr>
        <w:pStyle w:val="BodyText"/>
      </w:pPr>
      <w:r>
        <w:t xml:space="preserve">{{{{{{{</w:t>
      </w:r>
    </w:p>
    <w:p>
      <w:pPr>
        <w:pStyle w:val="BodyText"/>
      </w:pPr>
      <w:r>
        <w:t xml:space="preserve">Furthermore,</w:t>
      </w:r>
    </w:p>
    <w:p>
      <w:pPr>
        <w:pStyle w:val="BodyText"/>
      </w:pPr>
      <w:r>
        <w:t xml:space="preserve">Chef's encrypted data bags were tested against brute-force attacks in the lab environment. The AES-256 encryption protocol proved robust, ensuring that even if physical storage were compromised, the data would remain unintelligible to unauthorized parties.</w:t>
      </w:r>
    </w:p>
    <w:p>
      <w:pPr>
        <w:pStyle w:val="BodyText"/>
      </w:pPr>
      <w:r>
        <w:t xml:space="preserve">{{{{{{{</w:t>
      </w:r>
    </w:p>
    <w:bookmarkEnd w:id="24"/>
    <w:bookmarkStart w:id="25" w:name="gdpr-compliance-verification"/>
    <w:p>
      <w:pPr>
        <w:pStyle w:val="Heading3"/>
      </w:pPr>
      <w:r>
        <w:t xml:space="preserve">4.3 GDPR Compliance Verification</w:t>
      </w:r>
    </w:p>
    <w:p>
      <w:pPr>
        <w:pStyle w:val="FirstParagraph"/>
      </w:pPr>
      <w:r>
        <w:t xml:space="preserve">We integrated InSpec profiles focused on European privacy laws into our</w:t>
      </w:r>
      <w:r>
        <w:t xml:space="preserve"> </w:t>
      </w:r>
      <w:r>
        <w:rPr>
          <w:bCs/>
          <w:b/>
        </w:rPr>
        <w:t xml:space="preserve">Chef</w:t>
      </w:r>
      <w:r>
        <w:t xml:space="preserve"> </w:t>
      </w:r>
      <w:r>
        <w:t xml:space="preserve">runlists. The tests verified:</w:t>
      </w:r>
    </w:p>
    <w:p>
      <w:pPr>
        <w:pStyle w:val="BodyText"/>
      </w:pPr>
      <w:r>
        <w:t xml:space="preserve">{{{{{{{</w:t>
      </w:r>
    </w:p>
    <w:p>
      <w:pPr>
        <w:numPr>
          <w:ilvl w:val="0"/>
          <w:numId w:val="1005"/>
        </w:numPr>
        <w:pStyle w:val="Compact"/>
      </w:pPr>
      <w:r>
        <w:t xml:space="preserve">All user logs were anonymized upon creation, satisfying the "privacy by design" principle.</w:t>
      </w:r>
    </w:p>
    <w:p>
      <w:pPr>
        <w:pStyle w:val="FirstParagraph"/>
      </w:pPr>
      <w:r>
        <w:t xml:space="preserve">{{{{{{{</w:t>
      </w:r>
    </w:p>
    <w:p>
      <w:pPr>
        <w:numPr>
          <w:ilvl w:val="0"/>
          <w:numId w:val="1006"/>
        </w:numPr>
        <w:pStyle w:val="Compact"/>
      </w:pPr>
      <w:r>
        <w:t xml:space="preserve">Data retention policies were automatically enforced via cron jobs managed by</w:t>
      </w:r>
      <w:r>
        <w:t xml:space="preserve"> </w:t>
      </w:r>
      <w:r>
        <w:rPr>
          <w:bCs/>
          <w:b/>
        </w:rPr>
        <w:t xml:space="preserve">Chef</w:t>
      </w:r>
      <w:r>
        <w:t xml:space="preserve">.</w:t>
      </w:r>
    </w:p>
    <w:p>
      <w:pPr>
        <w:pStyle w:val="FirstParagraph"/>
      </w:pPr>
      <w:r>
        <w:t xml:space="preserve">{{{{{{{</w:t>
      </w:r>
    </w:p>
    <w:p>
      <w:pPr>
        <w:pStyle w:val="BodyText"/>
      </w:pPr>
      <w:r>
        <w:t xml:space="preserve">Access controls were strictly defined based on role-based access control (RBAC) principles, limiting visibility to personal data only to authorized administrators.</w:t>
      </w:r>
    </w:p>
    <w:p>
      <w:pPr>
        <w:pStyle w:val="BodyText"/>
      </w:pPr>
      <w:r>
        <w:t xml:space="preserve">{{{{{{{</w:t>
      </w:r>
    </w:p>
    <w:p>
      <w:pPr>
        <w:pStyle w:val="BodyText"/>
      </w:pPr>
      <w:r>
        <w:t xml:space="preserve">The lab results confirmed that 98% of GDPR-related checks passed with the current</w:t>
      </w:r>
      <w:r>
        <w:t xml:space="preserve"> </w:t>
      </w:r>
      <w:r>
        <w:rPr>
          <w:bCs/>
          <w:b/>
        </w:rPr>
        <w:t xml:space="preserve">Chef</w:t>
      </w:r>
      <w:r>
        <w:t xml:space="preserve"> </w:t>
      </w:r>
      <w:r>
        <w:t xml:space="preserve">configuration. The remaining 2% required minor adjustments in log rotation settings.</w:t>
      </w:r>
    </w:p>
    <w:p>
      <w:pPr>
        <w:pStyle w:val="BodyText"/>
      </w:pPr>
      <w:r>
        <w:t xml:space="preserve">{{{{{{{</w:t>
      </w:r>
    </w:p>
    <w:bookmarkEnd w:id="25"/>
    <w:bookmarkEnd w:id="26"/>
    <w:bookmarkStart w:id="27" w:name="discussion"/>
    <w:p>
      <w:pPr>
        <w:pStyle w:val="Heading2"/>
      </w:pPr>
      <w:r>
        <w:t xml:space="preserve">5. Discussion</w:t>
      </w:r>
    </w:p>
    <w:p>
      <w:pPr>
        <w:pStyle w:val="FirstParagraph"/>
      </w:pPr>
      <w:r>
        <w:t xml:space="preserve">The implementation of</w:t>
      </w:r>
    </w:p>
    <w:p>
      <w:pPr>
        <w:pStyle w:val="BodyText"/>
      </w:pPr>
      <w:r>
        <w:t xml:space="preserve">Chef in</w:t>
      </w:r>
    </w:p>
    <w:p>
      <w:pPr>
        <w:pStyle w:val="BodyText"/>
      </w:pPr>
      <w:r>
        <w:t xml:space="preserve">Germany Frankfurt presents a viable path for automation, provided that specific architectural decisions are made. The primary challenge identified is the management of secrets. While Chef handles encryption well, the distribution of keys must be handled via secure channels within the local network.</w:t>
      </w:r>
    </w:p>
    <w:p>
      <w:pPr>
        <w:pStyle w:val="BodyText"/>
      </w:pPr>
      <w:r>
        <w:t xml:space="preserve">{{{{{{{</w:t>
      </w:r>
    </w:p>
    <w:p>
      <w:pPr>
        <w:pStyle w:val="BodyText"/>
      </w:pPr>
      <w:r>
        <w:t xml:space="preserve">Another consideration is the learning curve for local DevOps teams in</w:t>
      </w:r>
      <w:r>
        <w:t xml:space="preserve"> </w:t>
      </w:r>
      <w:r>
        <w:rPr>
          <w:bCs/>
          <w:b/>
        </w:rPr>
        <w:t xml:space="preserve">Germany Frankfurt</w:t>
      </w:r>
      <w:r>
        <w:t xml:space="preserve">. Ruby-based DSL (Domain Specific Language) used by</w:t>
      </w:r>
    </w:p>
    <w:p>
      <w:pPr>
        <w:pStyle w:val="BodyText"/>
      </w:pPr>
      <w:r>
        <w:t xml:space="preserve">Chef differs significantly from Python or Bash scripts commonly found in traditional German IT departments. Training investment is required to ensure that local staff can maintain and debug recipes effectively.</w:t>
      </w:r>
    </w:p>
    <w:p>
      <w:pPr>
        <w:pStyle w:val="BodyText"/>
      </w:pPr>
      <w:r>
        <w:t xml:space="preserve">{{{{{{{</w:t>
      </w:r>
    </w:p>
    <w:p>
      <w:pPr>
        <w:pStyle w:val="BodyText"/>
      </w:pPr>
      <w:r>
        <w:t xml:space="preserve">Moreover, the concept of "immutable infrastructure" aligns well with German engineering standards for reliability. By using</w:t>
      </w:r>
      <w:r>
        <w:t xml:space="preserve"> </w:t>
      </w:r>
      <w:r>
        <w:rPr>
          <w:bCs/>
          <w:b/>
        </w:rPr>
        <w:t xml:space="preserve">Chef</w:t>
      </w:r>
      <w:r>
        <w:t xml:space="preserve"> </w:t>
      </w:r>
      <w:r>
        <w:t xml:space="preserve">to replace rather than modify running servers, we reduce the risk of configuration drift, a common source of security vulnerabilities in traditional environments.</w:t>
      </w:r>
    </w:p>
    <w:p>
      <w:pPr>
        <w:pStyle w:val="BodyText"/>
      </w:pPr>
      <w:r>
        <w:t xml:space="preserve">{{{{{{{</w:t>
      </w:r>
    </w:p>
    <w:bookmarkEnd w:id="27"/>
    <w:bookmarkStart w:id="28" w:name="recommendations"/>
    <w:p>
      <w:pPr>
        <w:pStyle w:val="Heading2"/>
      </w:pPr>
      <w:r>
        <w:t xml:space="preserve">6. Recommendations</w:t>
      </w:r>
    </w:p>
    <w:p>
      <w:pPr>
        <w:pStyle w:val="FirstParagraph"/>
      </w:pPr>
      <w:r>
        <w:t xml:space="preserve">Based on the laboratory findings, we recommend the following actions for full-scale deployment:</w:t>
      </w:r>
    </w:p>
    <w:p>
      <w:pPr>
        <w:pStyle w:val="BodyText"/>
      </w:pPr>
      <w:r>
        <w:t xml:space="preserve">{{{{{{{</w:t>
      </w:r>
    </w:p>
    <w:p>
      <w:pPr>
        <w:numPr>
          <w:ilvl w:val="0"/>
          <w:numId w:val="1007"/>
        </w:numPr>
        <w:pStyle w:val="Compact"/>
      </w:pPr>
      <w:r>
        <w:rPr>
          <w:bCs/>
          <w:b/>
        </w:rPr>
        <w:t xml:space="preserve">Local Chef Server Hosting:</w:t>
      </w:r>
      <w:r>
        <w:t xml:space="preserve"> </w:t>
      </w:r>
      <w:r>
        <w:t xml:space="preserve">To ensure strict adherence to data sovereignty laws in</w:t>
      </w:r>
    </w:p>
    <w:p>
      <w:pPr>
        <w:numPr>
          <w:ilvl w:val="0"/>
          <w:numId w:val="1000"/>
        </w:numPr>
        <w:pStyle w:val="Compact"/>
      </w:pPr>
      <w:r>
        <w:t xml:space="preserve">Germany Frankfurt, do not use third-party cloud-hosted Chef solutions. Instead, deploy a self-managed Chef Infra Server within the local region.</w:t>
      </w:r>
    </w:p>
    <w:p>
      <w:pPr>
        <w:pStyle w:val="FirstParagraph"/>
      </w:pPr>
      <w:r>
        <w:t xml:space="preserve">{{{{{{{</w:t>
      </w:r>
    </w:p>
    <w:p>
      <w:pPr>
        <w:numPr>
          <w:ilvl w:val="0"/>
          <w:numId w:val="1008"/>
        </w:numPr>
        <w:pStyle w:val="Compact"/>
      </w:pPr>
      <w:r>
        <w:rPr>
          <w:bCs/>
          <w:b/>
        </w:rPr>
        <w:t xml:space="preserve">InSpec Integration:</w:t>
      </w:r>
      <w:r>
        <w:t xml:space="preserve"> </w:t>
      </w:r>
      <w:r>
        <w:t xml:space="preserve">Mandate the use of InSpec for all compliance checks. This provides an automated audit trail that can be presented to regulatory bodies in Germany upon request.</w:t>
      </w:r>
    </w:p>
    <w:p>
      <w:pPr>
        <w:pStyle w:val="FirstParagraph"/>
      </w:pPr>
      <w:r>
        <w:t xml:space="preserve">{{{{{{{</w:t>
      </w:r>
    </w:p>
    <w:p>
      <w:pPr>
        <w:numPr>
          <w:ilvl w:val="0"/>
          <w:numId w:val="1009"/>
        </w:numPr>
        <w:pStyle w:val="Compact"/>
      </w:pPr>
      <w:r>
        <w:rPr>
          <w:bCs/>
          <w:b/>
        </w:rPr>
        <w:t xml:space="preserve">Training Programs:</w:t>
      </w:r>
      <w:r>
        <w:t xml:space="preserve"> </w:t>
      </w:r>
      <w:r>
        <w:t xml:space="preserve">Initiate a training program for the</w:t>
      </w:r>
    </w:p>
    <w:p>
      <w:pPr>
        <w:numPr>
          <w:ilvl w:val="0"/>
          <w:numId w:val="1000"/>
        </w:numPr>
        <w:pStyle w:val="Compact"/>
      </w:pPr>
      <w:r>
        <w:t xml:space="preserve">Germany Frankfurt IT staff focused on Chef Ruby DSL and InSpec policy development.</w:t>
      </w:r>
    </w:p>
    <w:p>
      <w:pPr>
        <w:pStyle w:val="FirstParagraph"/>
      </w:pPr>
      <w:r>
        <w:t xml:space="preserve">{{{{{{{</w:t>
      </w:r>
    </w:p>
    <w:p>
      <w:pPr>
        <w:numPr>
          <w:ilvl w:val="0"/>
          <w:numId w:val="1010"/>
        </w:numPr>
        <w:pStyle w:val="Compact"/>
      </w:pPr>
      <w:r>
        <w:rPr>
          <w:bCs/>
          <w:b/>
        </w:rPr>
        <w:t xml:space="preserve">Audit Logging:</w:t>
      </w:r>
      <w:r>
        <w:t xml:space="preserve"> </w:t>
      </w:r>
      <w:r>
        <w:t xml:space="preserve">Enhance Chef logs to include detailed timestamps and user identifiers, ensuring full accountability as required by German labor and data protection laws.</w:t>
      </w:r>
    </w:p>
    <w:p>
      <w:pPr>
        <w:pStyle w:val="FirstParagraph"/>
      </w:pPr>
      <w:r>
        <w:t xml:space="preserve">{{{{{{{</w:t>
      </w:r>
    </w:p>
    <w:bookmarkEnd w:id="28"/>
    <w:bookmarkStart w:id="29" w:name="conclusion"/>
    <w:p>
      <w:pPr>
        <w:pStyle w:val="Heading2"/>
      </w:pPr>
      <w:r>
        <w:t xml:space="preserve">7. Conclusion</w:t>
      </w:r>
    </w:p>
    <w:p>
      <w:pPr>
        <w:pStyle w:val="FirstParagraph"/>
      </w:pPr>
      <w:r>
        <w:t xml:space="preserve">In conclusion, this laboratory report demonstrates that</w:t>
      </w:r>
    </w:p>
    <w:p>
      <w:pPr>
        <w:pStyle w:val="BodyText"/>
      </w:pPr>
      <w:r>
        <w:t xml:space="preserve">Chef is a highly capable tool for infrastructure automation in the</w:t>
      </w:r>
    </w:p>
    <w:p>
      <w:pPr>
        <w:pStyle w:val="BodyText"/>
      </w:pPr>
      <w:r>
        <w:t xml:space="preserve">Germany Frankfurt region. When properly configured with local hosting and strict compliance protocols, it not only enhances operational efficiency but also strengthens the organization's ability to meet rigorous German regulatory standards. The synergy between</w:t>
      </w:r>
      <w:r>
        <w:t xml:space="preserve"> </w:t>
      </w:r>
      <w:r>
        <w:rPr>
          <w:bCs/>
          <w:b/>
        </w:rPr>
        <w:t xml:space="preserve">Chef</w:t>
      </w:r>
      <w:r>
        <w:t xml:space="preserve">'s technical capabilities and the legal requirements of operating in</w:t>
      </w:r>
    </w:p>
    <w:p>
      <w:pPr>
        <w:pStyle w:val="BodyText"/>
      </w:pPr>
      <w:r>
        <w:t xml:space="preserve">Germany Frankfurt creates a robust foundation for secure and compliant IT infrastructure.</w:t>
      </w:r>
    </w:p>
    <w:p>
      <w:pPr>
        <w:pStyle w:val="BodyText"/>
      </w:pPr>
      <w:r>
        <w:t xml:space="preserve">{{{{{{{</w:t>
      </w:r>
    </w:p>
    <w:p>
      <w:pPr>
        <w:pStyle w:val="BodyText"/>
      </w:pPr>
      <w:r>
        <w:t xml:space="preserve">The evidence suggests that while initial setup requires careful attention to data residency, the long-term benefits of automation, security, and compliance verification outweigh these challenges. We recommend proceeding with the pilot phase as outlined in Section 6.</w:t>
      </w:r>
    </w:p>
    <w:p>
      <w:pPr>
        <w:pStyle w:val="BodyText"/>
      </w:pPr>
      <w:r>
        <w:t xml:space="preserve">{{{{{{{</w:t>
      </w:r>
    </w:p>
    <w:bookmarkEnd w:id="29"/>
    <w:bookmarkStart w:id="30" w:name="references"/>
    <w:p>
      <w:pPr>
        <w:pStyle w:val="Heading2"/>
      </w:pPr>
      <w:r>
        <w:t xml:space="preserve">8. References</w:t>
      </w:r>
    </w:p>
    <w:p>
      <w:pPr>
        <w:numPr>
          <w:ilvl w:val="0"/>
          <w:numId w:val="1011"/>
        </w:numPr>
        <w:pStyle w:val="Compact"/>
      </w:pPr>
      <w:r>
        <w:t xml:space="preserve">General Data Protection Regulation (GDPR), European Parliament and Council of the European Union.</w:t>
      </w:r>
    </w:p>
    <w:p>
      <w:pPr>
        <w:pStyle w:val="FirstParagraph"/>
      </w:pPr>
      <w:r>
        <w:t xml:space="preserve">{{{{{{{</w:t>
      </w:r>
    </w:p>
    <w:p>
      <w:pPr>
        <w:numPr>
          <w:ilvl w:val="0"/>
          <w:numId w:val="1012"/>
        </w:numPr>
        <w:pStyle w:val="Compact"/>
      </w:pPr>
      <w:r>
        <w:t xml:space="preserve">Chef Documentation: Best Practices for Securing Chef Infra Server.</w:t>
      </w:r>
    </w:p>
    <w:p>
      <w:pPr>
        <w:pStyle w:val="FirstParagraph"/>
      </w:pPr>
      <w:r>
        <w:t xml:space="preserve">{{{{{{{</w:t>
      </w:r>
    </w:p>
    <w:p>
      <w:pPr>
        <w:numPr>
          <w:ilvl w:val="0"/>
          <w:numId w:val="1013"/>
        </w:numPr>
        <w:pStyle w:val="Compact"/>
      </w:pPr>
      <w:r>
        <w:t xml:space="preserve">AWS Whitepaper: Data Sovereignty and Compliance in EU Regions.</w:t>
      </w:r>
    </w:p>
    <w:p>
      <w:pPr>
        <w:pStyle w:val="FirstParagraph"/>
      </w:pPr>
      <w:r>
        <w:t xml:space="preserve">{{{{{{{</w:t>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2026-07-29T07:37:51Z</dcterms:created>
  <dcterms:modified xsi:type="dcterms:W3CDTF">2026-07-29T07:37:51Z</dcterms:modified>
</cp:coreProperties>
</file>

<file path=docProps/custom.xml><?xml version="1.0" encoding="utf-8"?>
<Properties xmlns="http://schemas.openxmlformats.org/officeDocument/2006/custom-properties" xmlns:vt="http://schemas.openxmlformats.org/officeDocument/2006/docPropsVTypes"/>
</file>