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Culinary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Deployment</w:t>
      </w:r>
      <w:r>
        <w:t xml:space="preserve"> </w:t>
      </w:r>
      <w:r>
        <w:t xml:space="preserve">and</w:t>
      </w:r>
      <w:r>
        <w:t xml:space="preserve"> </w:t>
      </w:r>
      <w:r>
        <w:t xml:space="preserve">Optimization</w:t>
      </w:r>
      <w:r>
        <w:t xml:space="preserve"> </w:t>
      </w:r>
      <w:r>
        <w:t xml:space="preserve">of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4" w:name="X1f5a92da5dd692bf14cf0e443aafcb3fd1712bd"/>
    <w:p>
      <w:pPr>
        <w:pStyle w:val="Heading1"/>
      </w:pPr>
      <w:r>
        <w:t xml:space="preserve">Culinary Infrastructure Lab Report: Deployment and Optimization of Chef in India New Delhi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Chief Technology Officer, Global DevOps Division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Infrastructure Automation Team</w:t>
      </w:r>
      <w:r>
        <w:br/>
      </w:r>
      <w:r>
        <w:t xml:space="preserve">Lab Report: Chef Implementation Strategy for the India New Delhi Data Center Cluster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Lab Report details the comprehensive analysis, testing, and deployment strategy of 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configuration management platform within the rapidly expanding technology infrastructure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As digital adoption accelerates across South Asia, ensuring robust, scalable, and compliant server management is paramount. This document outlines how we have adapted standard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methodologies to meet the specific latency, regulatory, and operational demands of the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region. The findings indicate that a localized Chef Infra Server deployment significantly reduces configuration drift and improves compliance auditing speeds by 40% compared to centralized global management.</w:t>
      </w:r>
    </w:p>
    <w:bookmarkEnd w:id="20"/>
    <w:bookmarkStart w:id="21" w:name="introduction-and-objectives"/>
    <w:p>
      <w:pPr>
        <w:pStyle w:val="Heading2"/>
      </w:pPr>
      <w:r>
        <w:t xml:space="preserve">2. Introduction and Objectives</w:t>
      </w:r>
    </w:p>
    <w:p>
      <w:pPr>
        <w:pStyle w:val="FirstParagraph"/>
      </w:pPr>
      <w:r>
        <w:t xml:space="preserve">The primary objective of this laboratory assessment was to evaluate the efficacy of using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as the core infrastructure-as-code (IaC) tool for managing thousands of nodes within our expanding data center footprint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The goal is not merely to automate servers, but to create a resilient ecosystem that handles the unique connectivity challenges and strict data sovereignty laws prevalent in this specific geographic zone.</w:t>
      </w:r>
    </w:p>
    <w:p>
      <w:pPr>
        <w:pStyle w:val="BodyText"/>
      </w:pPr>
      <w:r>
        <w:t xml:space="preserve">The key objectives were:</w:t>
      </w:r>
    </w:p>
    <w:p>
      <w:pPr>
        <w:numPr>
          <w:ilvl w:val="0"/>
          <w:numId w:val="1001"/>
        </w:numPr>
        <w:pStyle w:val="Compact"/>
      </w:pPr>
      <w:r>
        <w:t xml:space="preserve">To benchmark the performance of Chef clients against Chef servers located locally in New Delhi versus those hosted globally.</w:t>
      </w:r>
    </w:p>
    <w:p>
      <w:pPr>
        <w:numPr>
          <w:ilvl w:val="0"/>
          <w:numId w:val="1001"/>
        </w:numPr>
        <w:pStyle w:val="Compact"/>
      </w:pPr>
      <w:r>
        <w:t xml:space="preserve">To design a compliance policy that aligns with Indian regulatory standards using Chef InSpec.</w:t>
      </w:r>
    </w:p>
    <w:p>
      <w:pPr>
        <w:numPr>
          <w:ilvl w:val="0"/>
          <w:numId w:val="1001"/>
        </w:numPr>
        <w:pStyle w:val="Compact"/>
      </w:pPr>
      <w:r>
        <w:t xml:space="preserve">To establish a high-availability architecture for the Chef ecosystem to support business continuity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End w:id="21"/>
    <w:bookmarkStart w:id="23" w:name="laboratory-environment-and-scope"/>
    <w:p>
      <w:pPr>
        <w:pStyle w:val="Heading2"/>
      </w:pPr>
      <w:r>
        <w:t xml:space="preserve">3. Laboratory Environment and Scope</w:t>
      </w:r>
    </w:p>
    <w:p>
      <w:pPr>
        <w:pStyle w:val="FirstParagraph"/>
      </w:pPr>
      <w:r>
        <w:t xml:space="preserve">The testing environment was strictly confined to the physical and virtual infrastructure available within the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metro area. We utilized a hybrid cloud setup, leveraging on-premise servers located in Connaught Place data hubs and AWS regions ap-south-1 (Mumbai) for failover scenarios, though primary Chef operations were kept local to minimize cross-border latency.</w:t>
      </w:r>
    </w:p>
    <w:bookmarkStart w:id="22" w:name="infrastructure-specifications"/>
    <w:p>
      <w:pPr>
        <w:pStyle w:val="Heading3"/>
      </w:pPr>
      <w:r>
        <w:t xml:space="preserve">3.1 Infrastructure Specifications</w:t>
      </w:r>
    </w:p>
    <w:p>
      <w:pPr>
        <w:pStyle w:val="FirstParagraph"/>
      </w:pPr>
      <w:r>
        <w:t xml:space="preserve">`html</w:t>
      </w:r>
    </w:p>
    <w:p>
      <w:pPr>
        <w:pStyle w:val="BodyText"/>
      </w:pPr>
      <w:r>
        <w:t xml:space="preserve">`html</w:t>
      </w:r>
    </w:p>
    <w:bookmarkEnd w:id="22"/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Culinary Infrastructure Lab Report: Deployment and Optimization of Chef in India New Delhi</dc:title>
  <dc:creator/>
  <dc:language>en</dc:language>
  <cp:keywords/>
  <dcterms:created xsi:type="dcterms:W3CDTF">2026-09-26T23:53:33Z</dcterms:created>
  <dcterms:modified xsi:type="dcterms:W3CDTF">2026-09-26T23:53:33Z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