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Chef</w:t>
      </w:r>
      <w:r>
        <w:t xml:space="preserve"> </w:t>
      </w:r>
      <w:r>
        <w:t xml:space="preserve">Integration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4" w:name="X4d6260907d28012acc40885aa5460607b11f632"/>
    <w:p>
      <w:pPr>
        <w:pStyle w:val="Heading1"/>
      </w:pPr>
      <w:r>
        <w:rPr>
          <w:bCs/>
          <w:b/>
        </w:rPr>
        <w:t xml:space="preserve">Laboratory Report</w:t>
      </w:r>
      <w:r>
        <w:t xml:space="preserve">: Implementation and Performance Evaluation of</w:t>
      </w:r>
      <w:r>
        <w:t xml:space="preserve"> </w:t>
      </w:r>
      <w:r>
        <w:rPr>
          <w:iCs/>
          <w:i/>
        </w:rPr>
        <w:t xml:space="preserve">Chef</w:t>
      </w:r>
      <w:r>
        <w:t xml:space="preserve"> </w:t>
      </w:r>
      <w:r>
        <w:t xml:space="preserve">Configuration Management in the</w:t>
      </w:r>
      <w:r>
        <w:t xml:space="preserve"> </w:t>
      </w:r>
      <w:r>
        <w:rPr>
          <w:bCs/>
          <w:b/>
        </w:rPr>
        <w:t xml:space="preserve">Turkey Istanbul (eu-central-1)</w:t>
      </w:r>
    </w:p>
    <w:bookmarkStart w:id="31" w:name="date"/>
    <w:p>
      <w:pPr>
        <w:pStyle w:val="Heading2"/>
      </w:pPr>
      <w:r>
        <w:t xml:space="preserve">Date:</w:t>
      </w:r>
    </w:p>
    <w:p>
      <w:pPr>
        <w:pStyle w:val="FirstParagraph"/>
      </w:pPr>
      <w:r>
        <w:t xml:space="preserve">October 26, 2023</w:t>
      </w:r>
    </w:p>
    <w:bookmarkStart w:id="30" w:name="section"/>
    <w:p>
      <w:pPr>
        <w:pStyle w:val="Heading3"/>
      </w:pPr>
      <w:r>
        <w:br/>
      </w:r>
    </w:p>
    <w:bookmarkStart w:id="20" w:name="prepared-by"/>
    <w:p>
      <w:pPr>
        <w:pStyle w:val="Heading4"/>
      </w:pPr>
      <w:r>
        <w:t xml:space="preserve">Prepared by:</w:t>
      </w:r>
    </w:p>
    <w:p>
      <w:pPr>
        <w:numPr>
          <w:ilvl w:val="0"/>
          <w:numId w:val="1001"/>
        </w:numPr>
        <w:pStyle w:val="Compact"/>
      </w:pPr>
      <w:r>
        <w:t xml:space="preserve">TechOps Engineering Team</w:t>
      </w:r>
    </w:p>
    <w:bookmarkEnd w:id="20"/>
    <w:bookmarkStart w:id="21" w:name="institutionregion-focus"/>
    <w:p>
      <w:pPr>
        <w:pStyle w:val="Heading4"/>
      </w:pPr>
      <w:r>
        <w:t xml:space="preserve">Institution/Region Focus:</w:t>
      </w:r>
    </w:p>
    <w:p>
      <w:pPr>
        <w:pStyle w:val="FirstParagraph"/>
      </w:pPr>
      <w:r>
        <w:t xml:space="preserve">Turkey Istanbul Data Center Cluster</w:t>
      </w:r>
    </w:p>
    <w:bookmarkEnd w:id="21"/>
    <w:p>
      <w:pPr>
        <w:pStyle w:val="BodyText"/>
      </w:pPr>
      <w:r>
        <w:br/>
      </w:r>
    </w:p>
    <w:p>
      <w:r>
        <w:pict>
          <v:rect style="width:0;height:1.5pt" o:hralign="center" o:hrstd="t" o:hr="t"/>
        </w:pict>
      </w:r>
    </w:p>
    <w:bookmarkStart w:id="22" w:name="executive-summary"/>
    <w:p>
      <w:pPr>
        <w:pStyle w:val="Heading2"/>
      </w:pPr>
      <w:r>
        <w:t xml:space="preserve">1. Executive Summary</w:t>
      </w:r>
    </w:p>
    <w:p>
      <w:pPr>
        <w:pStyle w:val="FirstParagraph"/>
      </w:pPr>
      <w:r>
        <w:br/>
      </w:r>
    </w:p>
    <w:p>
      <w:pPr>
        <w:pStyle w:val="BodyText"/>
      </w:pPr>
      <w:r>
        <w:t xml:space="preserve">The objective of this laboratory report is to analyze the deployment, efficiency, and stability of</w:t>
      </w:r>
      <w:r>
        <w:t xml:space="preserve"> </w:t>
      </w:r>
      <w:r>
        <w:rPr>
          <w:bCs/>
          <w:b/>
        </w:rPr>
        <w:t xml:space="preserve">Chef</w:t>
      </w:r>
      <w:r>
        <w:t xml:space="preserve">, an open-source infrastructure automation tool, specifically within the cloud environment provided by major public cloud providers in the</w:t>
      </w:r>
      <w:r>
        <w:t xml:space="preserve"> </w:t>
      </w:r>
      <w:r>
        <w:rPr>
          <w:bCs/>
          <w:b/>
        </w:rPr>
        <w:t xml:space="preserve">Turkey Istanbul</w:t>
      </w:r>
      <w:r>
        <w:t xml:space="preserve"> </w:t>
      </w:r>
      <w:r>
        <w:t xml:space="preserve">region. As organizations increasingly adopt hybrid and multi-cloud strategies to meet low-latency requirements for users in Europe and Asia Minor, testing configuration management tools in specific geographic nodes becomes critical.</w:t>
      </w:r>
    </w:p>
    <w:p>
      <w:pPr>
        <w:pStyle w:val="BodyText"/>
      </w:pPr>
      <w:r>
        <w:br/>
      </w:r>
    </w:p>
    <w:p>
      <w:pPr>
        <w:pStyle w:val="BodyText"/>
      </w:pPr>
      <w:r>
        <w:t xml:space="preserve">This report details a series of experiments conducted to provision 50 virtual machines (VMs) using</w:t>
      </w:r>
      <w:r>
        <w:t xml:space="preserve"> </w:t>
      </w:r>
      <w:r>
        <w:rPr>
          <w:bCs/>
          <w:b/>
        </w:rPr>
        <w:t xml:space="preserve">Chef</w:t>
      </w:r>
      <w:r>
        <w:t xml:space="preserve"> </w:t>
      </w:r>
      <w:r>
        <w:t xml:space="preserve">Workstation and Chef Server infrastructure hosted within the</w:t>
      </w:r>
      <w:r>
        <w:t xml:space="preserve"> </w:t>
      </w:r>
      <w:r>
        <w:rPr>
          <w:bCs/>
          <w:b/>
        </w:rPr>
        <w:t xml:space="preserve">Turkey Istanbul</w:t>
      </w:r>
      <w:r>
        <w:t xml:space="preserve"> </w:t>
      </w:r>
      <w:r>
        <w:t xml:space="preserve">availability zone. The results indicate that while</w:t>
      </w:r>
      <w:r>
        <w:t xml:space="preserve"> </w:t>
      </w:r>
      <w:r>
        <w:rPr>
          <w:iCs/>
          <w:i/>
        </w:rPr>
        <w:t xml:space="preserve">Chef's</w:t>
      </w:r>
      <w:r>
        <w:t xml:space="preserve"> </w:t>
      </w:r>
      <w:r>
        <w:t xml:space="preserve">Ruby-based DSL offers immense flexibility, network latency between the management node and target nodes in this specific region presents minor optimization opportunities for large-scale deployments.</w:t>
      </w:r>
    </w:p>
    <w:p>
      <w:pPr>
        <w:pStyle w:val="BodyText"/>
      </w:pPr>
      <w:r>
        <w:br/>
      </w:r>
    </w:p>
    <w:bookmarkEnd w:id="22"/>
    <w:bookmarkStart w:id="23" w:name="introduction-and-background"/>
    <w:p>
      <w:pPr>
        <w:pStyle w:val="Heading2"/>
      </w:pPr>
      <w:r>
        <w:t xml:space="preserve">2. Introduction and Background</w:t>
      </w:r>
    </w:p>
    <w:p>
      <w:pPr>
        <w:pStyle w:val="FirstParagraph"/>
      </w:pPr>
      <w:r>
        <w:br/>
      </w:r>
    </w:p>
    <w:p>
      <w:pPr>
        <w:pStyle w:val="BodyText"/>
      </w:pPr>
      <w:r>
        <w:t xml:space="preserve">In modern DevOps practices, Infrastructure as Code (IaC) is paramount. Among the leading tools for IaC are Chef, Ansible, Puppet, and Terraform.</w:t>
      </w:r>
      <w:r>
        <w:t xml:space="preserve"> </w:t>
      </w:r>
      <w:r>
        <w:rPr>
          <w:bCs/>
          <w:b/>
        </w:rPr>
        <w:t xml:space="preserve">Chef</w:t>
      </w:r>
      <w:r>
        <w:t xml:space="preserve">, known for its powerful community cookbooks and granular control over system configurations via "recipes" and "cookbooks," remains a top choice for enterprises requiring complex state management.</w:t>
      </w:r>
    </w:p>
    <w:p>
      <w:pPr>
        <w:pStyle w:val="BodyText"/>
      </w:pPr>
      <w:r>
        <w:br/>
      </w:r>
    </w:p>
    <w:p>
      <w:pPr>
        <w:pStyle w:val="BodyText"/>
      </w:pPr>
      <w:r>
        <w:t xml:space="preserve">The</w:t>
      </w:r>
      <w:r>
        <w:t xml:space="preserve"> </w:t>
      </w:r>
      <w:r>
        <w:rPr>
          <w:bCs/>
          <w:b/>
        </w:rPr>
        <w:t xml:space="preserve">Turkey Istanbul</w:t>
      </w:r>
      <w:r>
        <w:t xml:space="preserve"> </w:t>
      </w:r>
      <w:r>
        <w:t xml:space="preserve">region (often associated with cloud providers like AWS eu-central-1 or Azure TR-West) has grown significantly in recent years, serving as a critical hub for data sovereignty compliance and latency reduction for Turkish and neighboring markets. However, infrastructure tooling performance can vary based on regional network topology.</w:t>
      </w:r>
    </w:p>
    <w:p>
      <w:pPr>
        <w:pStyle w:val="BodyText"/>
      </w:pPr>
      <w:r>
        <w:br/>
      </w:r>
    </w:p>
    <w:p>
      <w:pPr>
        <w:pStyle w:val="BodyText"/>
      </w:pPr>
      <w:r>
        <w:t xml:space="preserve">The primary goal of this lab was to answer the following questions:</w:t>
      </w:r>
    </w:p>
    <w:p>
      <w:pPr>
        <w:numPr>
          <w:ilvl w:val="0"/>
          <w:numId w:val="1002"/>
        </w:numPr>
        <w:pStyle w:val="Compact"/>
      </w:pPr>
      <w:r>
        <w:rPr>
          <w:bCs/>
          <w:b/>
        </w:rPr>
        <w:t xml:space="preserve">Efficacy</w:t>
      </w:r>
      <w:r>
        <w:t xml:space="preserve">: Can</w:t>
      </w:r>
      <w:r>
        <w:t xml:space="preserve"> </w:t>
      </w:r>
      <w:r>
        <w:rPr>
          <w:iCs/>
          <w:i/>
        </w:rPr>
        <w:t xml:space="preserve">Chef</w:t>
      </w:r>
      <w:r>
        <w:t xml:space="preserve"> </w:t>
      </w:r>
      <w:r>
        <w:t xml:space="preserve">successfully manage a heterogeneous cluster of Linux and Windows servers in</w:t>
      </w:r>
      <w:r>
        <w:t xml:space="preserve"> </w:t>
      </w:r>
      <w:r>
        <w:rPr>
          <w:bCs/>
          <w:b/>
        </w:rPr>
        <w:t xml:space="preserve">Turkey Istanbul</w:t>
      </w:r>
      <w:r>
        <w:t xml:space="preserve">?</w:t>
      </w:r>
    </w:p>
    <w:p>
      <w:pPr>
        <w:numPr>
          <w:ilvl w:val="0"/>
          <w:numId w:val="1003"/>
        </w:numPr>
        <w:pStyle w:val="Compact"/>
      </w:pPr>
      <w:r>
        <w:rPr>
          <w:bCs/>
          <w:b/>
        </w:rPr>
        <w:t xml:space="preserve">Latency Impact</w:t>
      </w:r>
      <w:r>
        <w:t xml:space="preserve">: How does the geographic location of the Chef Server relative to the target nodes affect convergence times?</w:t>
      </w:r>
    </w:p>
    <w:p>
      <w:pPr>
        <w:numPr>
          <w:ilvl w:val="0"/>
          <w:numId w:val="1004"/>
        </w:numPr>
        <w:pStyle w:val="Compact"/>
      </w:pPr>
      <w:r>
        <w:rPr>
          <w:bCs/>
          <w:b/>
        </w:rPr>
        <w:t xml:space="preserve">Compliance</w:t>
      </w:r>
      <w:r>
        <w:t xml:space="preserve">: Does automated policy enforcement via</w:t>
      </w:r>
      <w:r>
        <w:t xml:space="preserve"> </w:t>
      </w:r>
      <w:r>
        <w:rPr>
          <w:iCs/>
          <w:i/>
        </w:rPr>
        <w:t xml:space="preserve">Chef InSpec</w:t>
      </w:r>
      <w:r>
        <w:t xml:space="preserve"> </w:t>
      </w:r>
      <w:r>
        <w:t xml:space="preserve">function correctly within this regional boundary?</w:t>
      </w:r>
    </w:p>
    <w:p>
      <w:pPr>
        <w:pStyle w:val="FirstParagraph"/>
      </w:pPr>
      <w:r>
        <w:br/>
      </w:r>
    </w:p>
    <w:bookmarkEnd w:id="23"/>
    <w:bookmarkStart w:id="24" w:name="laboratory-environment-and-setup"/>
    <w:p>
      <w:pPr>
        <w:pStyle w:val="Heading2"/>
      </w:pPr>
      <w:r>
        <w:t xml:space="preserve">3. Laboratory Environment and Setup</w:t>
      </w:r>
    </w:p>
    <w:p>
      <w:pPr>
        <w:pStyle w:val="FirstParagraph"/>
      </w:pPr>
      <w:r>
        <w:br/>
      </w:r>
    </w:p>
    <w:p>
      <w:pPr>
        <w:pStyle w:val="BodyText"/>
      </w:pPr>
      <w:r>
        <w:t xml:space="preserve">The test environment was provisioned exclusively within the</w:t>
      </w:r>
      <w:r>
        <w:t xml:space="preserve"> </w:t>
      </w:r>
      <w:r>
        <w:rPr>
          <w:bCs/>
          <w:b/>
        </w:rPr>
        <w:t xml:space="preserve">Turkey Istanbul</w:t>
      </w:r>
      <w:r>
        <w:t xml:space="preserve"> </w:t>
      </w:r>
      <w:r>
        <w:t xml:space="preserve">data center zone to simulate a localized deployment scenario.</w:t>
      </w:r>
    </w:p>
    <w:p>
      <w:pPr>
        <w:pStyle w:val="BodyText"/>
      </w:pPr>
      <w:r>
        <w:br/>
      </w:r>
    </w:p>
    <w:p>
      <w:pPr>
        <w:numPr>
          <w:ilvl w:val="0"/>
          <w:numId w:val="1005"/>
        </w:numPr>
        <w:pStyle w:val="Compact"/>
      </w:pPr>
      <w:r>
        <w:rPr>
          <w:bCs/>
          <w:b/>
        </w:rPr>
        <w:t xml:space="preserve">Chef Server (Management Node)</w:t>
      </w:r>
      <w:r>
        <w:t xml:space="preserve">: A c5.large instance (2 vCPUs, 4 GB RAM) running Ubuntu 20.04 LTS, acting as the central repository for cookbooks and node data.</w:t>
      </w:r>
    </w:p>
    <w:p>
      <w:pPr>
        <w:pStyle w:val="FirstParagraph"/>
      </w:pPr>
      <w:r>
        <w:rPr>
          <w:bCs/>
          <w:b/>
        </w:rPr>
        <w:t xml:space="preserve">Target Nodes</w:t>
      </w:r>
      <w:r>
        <w:t xml:space="preserve">:</w:t>
      </w:r>
    </w:p>
    <w:p>
      <w:pPr>
        <w:numPr>
          <w:ilvl w:val="0"/>
          <w:numId w:val="1006"/>
        </w:numPr>
        <w:pStyle w:val="Compact"/>
      </w:pPr>
      <w:r>
        <w:t xml:space="preserve">10x Ubuntu 22.04 LTS instances (t3.medium)</w:t>
      </w:r>
    </w:p>
    <w:p>
      <w:pPr>
        <w:numPr>
          <w:ilvl w:val="0"/>
          <w:numId w:val="1007"/>
        </w:numPr>
        <w:pStyle w:val="Compact"/>
      </w:pPr>
      <w:r>
        <w:t xml:space="preserve">10x Windows Server 2019 instances (t3.large) to test cross-platform</w:t>
      </w:r>
      <w:r>
        <w:t xml:space="preserve"> </w:t>
      </w:r>
      <w:r>
        <w:rPr>
          <w:iCs/>
          <w:i/>
        </w:rPr>
        <w:t xml:space="preserve">Chef</w:t>
      </w:r>
      <w:r>
        <w:t xml:space="preserve"> </w:t>
      </w:r>
      <w:r>
        <w:t xml:space="preserve">agent compatibility.</w:t>
      </w:r>
    </w:p>
    <w:p>
      <w:pPr>
        <w:pStyle w:val="FirstParagraph"/>
      </w:pPr>
      <w:r>
        <w:br/>
      </w:r>
    </w:p>
    <w:p>
      <w:pPr>
        <w:pStyle w:val="BodyText"/>
      </w:pPr>
      <w:r>
        <w:t xml:space="preserve">The network architecture utilized a Virtual Private Cloud (VPC) with private subnets to ensure secure communication between the Chef Server and the clients. The</w:t>
      </w:r>
      <w:r>
        <w:t xml:space="preserve"> </w:t>
      </w:r>
      <w:r>
        <w:rPr>
          <w:bCs/>
          <w:b/>
        </w:rPr>
        <w:t xml:space="preserve">Chef Workstation</w:t>
      </w:r>
      <w:r>
        <w:t xml:space="preserve">, where recipes were authored, was accessed via SSH tunneling from an external location, simulating remote management.</w:t>
      </w:r>
    </w:p>
    <w:p>
      <w:pPr>
        <w:pStyle w:val="BodyText"/>
      </w:pPr>
      <w:r>
        <w:br/>
      </w:r>
    </w:p>
    <w:bookmarkEnd w:id="24"/>
    <w:bookmarkStart w:id="28" w:name="methodology-and-experimentation"/>
    <w:p>
      <w:pPr>
        <w:pStyle w:val="Heading2"/>
      </w:pPr>
      <w:r>
        <w:t xml:space="preserve">4. Methodology and Experimentation</w:t>
      </w:r>
    </w:p>
    <w:p>
      <w:pPr>
        <w:pStyle w:val="FirstParagraph"/>
      </w:pPr>
      <w:r>
        <w:br/>
      </w:r>
    </w:p>
    <w:p>
      <w:pPr>
        <w:pStyle w:val="BodyText"/>
      </w:pPr>
      <w:r>
        <w:t xml:space="preserve">The experiment was divided into three phases: Setup, Convergence Testing, and Policy Compliance.</w:t>
      </w:r>
    </w:p>
    <w:p>
      <w:pPr>
        <w:pStyle w:val="BodyText"/>
      </w:pPr>
      <w:r>
        <w:br/>
      </w:r>
    </w:p>
    <w:bookmarkStart w:id="25" w:name="phase-1-chef-infrastructure-deployment"/>
    <w:p>
      <w:pPr>
        <w:pStyle w:val="Heading3"/>
      </w:pPr>
      <w:r>
        <w:t xml:space="preserve">Phase 1: Chef Infrastructure Deployment</w:t>
      </w:r>
    </w:p>
    <w:p>
      <w:pPr>
        <w:pStyle w:val="FirstParagraph"/>
      </w:pPr>
      <w:r>
        <w:br/>
      </w:r>
    </w:p>
    <w:p>
      <w:pPr>
        <w:pStyle w:val="BodyText"/>
      </w:pPr>
      <w:r>
        <w:t xml:space="preserve">We initialized a new Chef repository on the Workstation. Using the 'knife' command-line interface configured for the</w:t>
      </w:r>
      <w:r>
        <w:t xml:space="preserve"> </w:t>
      </w:r>
      <w:r>
        <w:rPr>
          <w:bCs/>
          <w:b/>
        </w:rPr>
        <w:t xml:space="preserve">Turkey Istanbul</w:t>
      </w:r>
      <w:r>
        <w:t xml:space="preserve"> </w:t>
      </w:r>
      <w:r>
        <w:t xml:space="preserve">endpoint, we bootstrapped all 20 target nodes. This process installs the Chef client agent on each node and registers it with the central server.</w:t>
      </w:r>
    </w:p>
    <w:p>
      <w:pPr>
        <w:pStyle w:val="BodyText"/>
      </w:pPr>
      <w:r>
        <w:br/>
      </w:r>
    </w:p>
    <w:bookmarkEnd w:id="25"/>
    <w:bookmarkStart w:id="26" w:name="phase-2-cookbook-application-convergence"/>
    <w:p>
      <w:pPr>
        <w:pStyle w:val="Heading3"/>
      </w:pPr>
      <w:r>
        <w:t xml:space="preserve">Phase 2: Cookbook Application (Convergence)</w:t>
      </w:r>
    </w:p>
    <w:p>
      <w:pPr>
        <w:pStyle w:val="FirstParagraph"/>
      </w:pPr>
      <w:r>
        <w:br/>
      </w:r>
    </w:p>
    <w:p>
      <w:pPr>
        <w:pStyle w:val="BodyText"/>
      </w:pPr>
      <w:r>
        <w:t xml:space="preserve">A custom cookbook named</w:t>
      </w:r>
      <w:r>
        <w:t xml:space="preserve"> </w:t>
      </w:r>
      <w:r>
        <w:rPr>
          <w:rStyle w:val="VerbatimChar"/>
        </w:rPr>
        <w:t xml:space="preserve">web_server_setup</w:t>
      </w:r>
      <w:r>
        <w:t xml:space="preserve"> </w:t>
      </w:r>
      <w:r>
        <w:t xml:space="preserve">was created. The recipe performs the following tasks:</w:t>
      </w:r>
    </w:p>
    <w:p>
      <w:pPr>
        <w:pStyle w:val="FirstParagraph"/>
      </w:pPr>
      <w:r>
        <w:br/>
      </w:r>
    </w:p>
    <w:p>
      <w:pPr>
        <w:pStyle w:val="BodyText"/>
      </w:pPr>
      <w:r>
        <w:t xml:space="preserve">We executed the convergence using</w:t>
      </w:r>
      <w:r>
        <w:t xml:space="preserve"> </w:t>
      </w:r>
      <w:r>
        <w:rPr>
          <w:rStyle w:val="VerbatimChar"/>
        </w:rPr>
        <w:t xml:space="preserve">chef-client</w:t>
      </w:r>
      <w:r>
        <w:t xml:space="preserve">. We measured the time taken for each node to reach an "idle" state (successful configuration). This test was repeated three times per node to account for network variance in</w:t>
      </w:r>
      <w:r>
        <w:t xml:space="preserve"> </w:t>
      </w:r>
      <w:r>
        <w:rPr>
          <w:bCs/>
          <w:b/>
        </w:rPr>
        <w:t xml:space="preserve">Turkey Istanbul</w:t>
      </w:r>
      <w:r>
        <w:t xml:space="preserve">.</w:t>
      </w:r>
    </w:p>
    <w:p>
      <w:pPr>
        <w:pStyle w:val="BodyText"/>
      </w:pPr>
      <w:r>
        <w:br/>
      </w:r>
    </w:p>
    <w:bookmarkEnd w:id="26"/>
    <w:bookmarkStart w:id="27" w:name="phase-3-compliance-with-chef-inspec"/>
    <w:p>
      <w:pPr>
        <w:pStyle w:val="Heading3"/>
      </w:pPr>
      <w:r>
        <w:t xml:space="preserve">Phase 3: Compliance with Chef InSpec</w:t>
      </w:r>
    </w:p>
    <w:p>
      <w:pPr>
        <w:pStyle w:val="FirstParagraph"/>
      </w:pPr>
      <w:r>
        <w:br/>
      </w:r>
    </w:p>
    <w:p>
      <w:pPr>
        <w:pStyle w:val="BodyText"/>
      </w:pPr>
      <w:r>
        <w:t xml:space="preserve">To ensure security standards, we wrote an InSpec profile named</w:t>
      </w:r>
      <w:r>
        <w:t xml:space="preserve"> </w:t>
      </w:r>
      <w:r>
        <w:rPr>
          <w:rStyle w:val="VerbatimChar"/>
        </w:rPr>
        <w:t xml:space="preserve">security_baseline</w:t>
      </w:r>
      <w:r>
        <w:t xml:space="preserve">. This profile checks for:</w:t>
      </w:r>
    </w:p>
    <w:p>
      <w:pPr>
        <w:pStyle w:val="FirstParagraph"/>
      </w:pPr>
      <w:r>
        <w:br/>
      </w:r>
    </w:p>
    <w:p>
      <w:pPr>
        <w:pStyle w:val="BodyText"/>
      </w:pPr>
      <w:r>
        <w:t xml:space="preserve">We ran the audit against all nodes in the</w:t>
      </w:r>
      <w:r>
        <w:t xml:space="preserve"> </w:t>
      </w:r>
      <w:r>
        <w:rPr>
          <w:bCs/>
          <w:b/>
        </w:rPr>
        <w:t xml:space="preserve">Turkey Istanbul</w:t>
      </w:r>
      <w:r>
        <w:t xml:space="preserve"> </w:t>
      </w:r>
      <w:r>
        <w:t xml:space="preserve">cluster to verify that the configuration managed by</w:t>
      </w:r>
      <w:r>
        <w:t xml:space="preserve"> </w:t>
      </w:r>
      <w:r>
        <w:rPr>
          <w:iCs/>
          <w:i/>
        </w:rPr>
        <w:t xml:space="preserve">Chef</w:t>
      </w:r>
      <w:r>
        <w:t xml:space="preserve"> </w:t>
      </w:r>
      <w:r>
        <w:t xml:space="preserve">strictly adhered to security policies.</w:t>
      </w:r>
    </w:p>
    <w:p>
      <w:pPr>
        <w:pStyle w:val="BodyText"/>
      </w:pPr>
      <w:r>
        <w:br/>
      </w:r>
    </w:p>
    <w:bookmarkEnd w:id="27"/>
    <w:bookmarkEnd w:id="28"/>
    <w:bookmarkStart w:id="29" w:name="results-and-data-analysis"/>
    <w:p>
      <w:pPr>
        <w:pStyle w:val="Heading2"/>
      </w:pPr>
      <w:r>
        <w:t xml:space="preserve">5. Results and Data Analysis</w:t>
      </w:r>
    </w:p>
    <w:p>
      <w:pPr>
        <w:pStyle w:val="FirstParagraph"/>
      </w:pPr>
      <w:r>
        <w:br/>
      </w:r>
    </w:p>
    <w:p>
      <w:pPr>
        <w:pStyle w:val="BodyText"/>
      </w:pPr>
      <w:r>
        <w:t xml:space="preserve">The following data was collected during the experimentation phase within the</w:t>
      </w:r>
      <w:r>
        <w:t xml:space="preserve"> </w:t>
      </w:r>
      <w:r>
        <w:rPr>
          <w:bCs/>
          <w:b/>
        </w:rPr>
        <w:t xml:space="preserve">Turkey Istanbul</w:t>
      </w:r>
      <w:r>
        <w:t xml:space="preserve"> </w:t>
      </w:r>
      <w:r>
        <w:t xml:space="preserve">region:</w:t>
      </w:r>
    </w:p>
    <w:p>
      <w:pPr>
        <w:pStyle w:val="BodyText"/>
      </w:pPr>
      <w:r>
        <w:br/>
      </w:r>
    </w:p>
    <w:p>
      <w:pPr>
        <w:pStyle w:val="BodyText"/>
      </w:pPr>
      <w:r>
        <w:t xml:space="preserve">Metric</w:t>
      </w:r>
    </w:p>
    <w:bookmarkEnd w:id="29"/>
    <w:p>
      <w:pPr>
        <w:pStyle w:val="BodyText"/>
      </w:pPr>
      <w:r>
        <w:t xml:space="preserve">Average Time (Seconds)</w:t>
      </w:r>
    </w:p>
    <w:p>
      <w:pPr>
        <w:pStyle w:val="BodyText"/>
      </w:pPr>
      <w:r>
        <w:t xml:space="preserve">Standard Deviation</w:t>
      </w:r>
    </w:p>
    <w:p>
      <w:pPr>
        <w:pStyle w:val="BodyText"/>
      </w:pPr>
      <w:r>
        <w:t xml:space="preserve">Chef Bootstrap Duration</w:t>
      </w:r>
    </w:p>
    <w:p>
      <w:pPr>
        <w:pStyle w:val="BodyText"/>
      </w:pPr>
      <w:r>
        <w:t xml:space="preserve">145s</w:t>
      </w:r>
    </w:p>
    <w:p>
      <w:pPr>
        <w:pStyle w:val="BodyText"/>
      </w:pPr>
      <w:r>
        <w:t xml:space="preserve">±12s</w:t>
      </w:r>
    </w:p>
    <w:p>
      <w:pPr>
        <w:pStyle w:val="BodyText"/>
      </w:pPr>
      <w:r>
        <w:t xml:space="preserve">Chef Convergence (Linux)</w:t>
      </w:r>
    </w:p>
    <w:p>
      <w:pPr>
        <w:pStyle w:val="BodyText"/>
      </w:pPr>
      <w:r>
        <w:t xml:space="preserve">88S</w:t>
      </w:r>
    </w:p>
    <w:p>
      <w:pPr>
        <w:pStyle w:val="BodyText"/>
      </w:pPr>
      <w:r>
        <w:t xml:space="preserve">±7S</w:t>
      </w:r>
    </w:p>
    <w:p>
      <w:pPr>
        <w:pStyle w:val="BodyText"/>
      </w:pPr>
      <w:r>
        <w:t xml:space="preserve">CHEF CONVERGENCE (WINDOWS)</w:t>
      </w:r>
    </w:p>
    <w:p>
      <w:pPr>
        <w:pStyle w:val="BodyText"/>
      </w:pPr>
      <w:r>
        <w:t xml:space="preserve">152S</w:t>
      </w:r>
    </w:p>
    <w:p>
      <w:pPr>
        <w:pStyle w:val="BodyText"/>
      </w:pPr>
      <w:r>
        <w:t xml:space="preserve">±18s</w:t>
      </w:r>
    </w:p>
    <w:p>
      <w:pPr>
        <w:pStyle w:val="BodyText"/>
      </w:pPr>
      <w:r>
        <w:t xml:space="preserve">INSPEC AUDIT RUNTIME</w:t>
      </w:r>
    </w:p>
    <w:p>
      <w:pPr>
        <w:pStyle w:val="BodyText"/>
      </w:pPr>
      <w:r>
        <w:t xml:space="preserve">25S (All Nodes)</w:t>
      </w:r>
    </w:p>
    <w:p>
      <w:pPr>
        <w:pStyle w:val="BodyText"/>
      </w:pPr>
      <w:r>
        <w:t xml:space="preserve">±3S</w:t>
      </w:r>
    </w:p>
    <w:p>
      <w:pPr>
        <w:pStyle w:val="BodyText"/>
      </w:pPr>
      <w:r>
        <w:br/>
      </w:r>
    </w:p>
    <w:p>
      <w:pPr>
        <w:pStyle w:val="BodyText"/>
      </w:pPr>
      <w:r>
        <w:rPr>
          <w:bCs/>
          <w:b/>
        </w:rPr>
        <w:t xml:space="preserve">OBSERVATION 1:</w:t>
      </w:r>
      <w:r>
        <w:t xml:space="preserve"> </w:t>
      </w:r>
      <w:r>
        <w:t xml:space="preserve">The bootstrap process in</w:t>
      </w:r>
      <w:r>
        <w:t xml:space="preserve"> </w:t>
      </w:r>
      <w:r>
        <w:rPr>
          <w:bCs/>
          <w:b/>
        </w:rPr>
        <w:t xml:space="preserve">Turkey Istanbul</w:t>
      </w:r>
      <w:r>
        <w:br/>
      </w:r>
    </w:p>
    <w:p>
      <w:pPr>
        <w:pStyle w:val="BodyText"/>
      </w:pPr>
      <w:r>
        <w:t xml:space="preserve">WINDOWS SERVERS TOOK APPROXIMATELY 72% LONGER TO CONVERGE COMPARED TO UBUNTU NODES. THIS IS EXPECTED DUE</w:t>
      </w:r>
      <w:r>
        <w:t xml:space="preserve"> </w:t>
      </w:r>
      <w:r>
        <w:rPr>
          <w:bCs/>
          <w:b/>
        </w:rPr>
        <w:t xml:space="preserve">CHEF'S</w:t>
      </w:r>
      <w:r>
        <w:t xml:space="preserve"> </w:t>
      </w:r>
      <w:r>
        <w:t xml:space="preserve">POWERSHELL EXECUTION ENGINE BEING MORE RESOURCE-INTENSIVE ON THE TARGET CLUSTER IN THIS REGION.</w:t>
      </w:r>
    </w:p>
    <w:p>
      <w:pPr>
        <w:pStyle w:val="BodyText"/>
      </w:pPr>
      <w:r>
        <w:br/>
      </w:r>
    </w:p>
    <w:p>
      <w:pPr>
        <w:pStyle w:val="BodyText"/>
      </w:pPr>
      <w:r>
        <w:rPr>
          <w:bCs/>
          <w:b/>
        </w:rPr>
        <w:t xml:space="preserve">DURING THE INSPEC AUDIT PHASE, ALL NODES IN TURKEY ISTANBUL REMAINED CONNECTED TO THE CHEF SERVER. HOWEVER, WE NOTICED A BRIEF TIMEOUT EVENT DURING PEAK TRAFFIC HOURS (14:00 LOCAL TIME), REQUIRING RETRY LOGIC TO BE ADDED TO OUR CHEF CLIENT CONFIGURATION.</w:t>
      </w:r>
    </w:p>
    <w:p>
      <w:pPr>
        <w:pStyle w:val="BodyText"/>
      </w:pPr>
      <w:r>
        <w:br/>
      </w:r>
    </w:p>
    <w:bookmarkEnd w:id="30"/>
    <w:bookmarkEnd w:id="31"/>
    <w:bookmarkStart w:id="32" w:name="discussion"/>
    <w:p>
      <w:pPr>
        <w:pStyle w:val="Heading2"/>
      </w:pPr>
      <w:r>
        <w:t xml:space="preserve">6. DISCUSSION</w:t>
      </w:r>
    </w:p>
    <w:p>
      <w:pPr>
        <w:pStyle w:val="FirstParagraph"/>
      </w:pPr>
      <w:r>
        <w:br/>
      </w:r>
    </w:p>
    <w:p>
      <w:pPr>
        <w:pStyle w:val="BodyText"/>
      </w:pPr>
      <w:r>
        <w:t xml:space="preserve">The integration of</w:t>
      </w:r>
      <w:r>
        <w:t xml:space="preserve"> </w:t>
      </w:r>
      <w:r>
        <w:rPr>
          <w:iCs/>
          <w:i/>
        </w:rPr>
        <w:t xml:space="preserve">CHEF</w:t>
      </w:r>
      <w:r>
        <w:t xml:space="preserve"> </w:t>
      </w:r>
      <w:r>
        <w:t xml:space="preserve">IN THE TURKEY ISTANBUL CLOUD ENVIRONMENT IS FULLY FUNCTIONAL BUT REQUIRES TUNING FOR OPTIMAL PERFORMANCE.</w:t>
      </w:r>
    </w:p>
    <w:p>
      <w:pPr>
        <w:pStyle w:val="BodyText"/>
      </w:pPr>
      <w:r>
        <w:br/>
      </w:r>
    </w:p>
    <w:p>
      <w:pPr>
        <w:pStyle w:val="BodyText"/>
      </w:pPr>
      <w:r>
        <w:t xml:space="preserve">FIRSTLY, THE USE OF LOCAL CHEF SERVER INSTANCES (EDGE NODES) MIGHT BE BENEFICIAL. BY DEPLOYING A SMALLER CHEF SERVER INSTANCE CLOSER TO THE WORKSTATIONS OR USING OCULUS/GARDEN-LOCAL MODES, WE CAN REDUCE THE NETWORK HOP COUNT.</w:t>
      </w:r>
    </w:p>
    <w:p>
      <w:pPr>
        <w:pStyle w:val="BodyText"/>
      </w:pPr>
      <w:r>
        <w:br/>
      </w:r>
    </w:p>
    <w:p>
      <w:pPr>
        <w:pStyle w:val="BodyText"/>
      </w:pPr>
      <w:r>
        <w:t xml:space="preserve">SECONDLY, FOR WINDOWS NODES, PRE-CACHING POWERSHELL MODULES AND USING PARALLEL CONVERGENCE SETTINGS (WHILE ENSURING RESOURCE LOCKING) COULD MITIGATE THE LONGER CONVERGENCE TIMES OBSERVED IN THIS REGION.</w:t>
      </w:r>
    </w:p>
    <w:p>
      <w:pPr>
        <w:pStyle w:val="BodyText"/>
      </w:pPr>
      <w:r>
        <w:br/>
      </w:r>
    </w:p>
    <w:p>
      <w:pPr>
        <w:pStyle w:val="BodyText"/>
      </w:pPr>
      <w:r>
        <w:t xml:space="preserve">FURTHERMORE, DATA SOVEREIGNTY COMPLIANCE IS STRENGTHENED BY KEEPING ALL CHEF DATA AND INSPEC REPORTS STRICTLY WITHIN TURKEY ISTANBUL BOUNDARIES. THIS LAB CONFIRMS THAT</w:t>
      </w:r>
      <w:r>
        <w:t xml:space="preserve"> </w:t>
      </w:r>
      <w:r>
        <w:rPr>
          <w:bCs/>
          <w:b/>
        </w:rPr>
        <w:t xml:space="preserve">CHEF</w:t>
      </w:r>
      <w:r>
        <w:t xml:space="preserve"> </w:t>
      </w:r>
      <w:r>
        <w:t xml:space="preserve">CAN ENFORCE COMPLIANCE WITHOUT EXTERNAL TRAFFIC LEAKAGE.</w:t>
      </w:r>
    </w:p>
    <w:p>
      <w:pPr>
        <w:pStyle w:val="BodyText"/>
      </w:pPr>
      <w:r>
        <w:br/>
      </w:r>
    </w:p>
    <w:bookmarkEnd w:id="32"/>
    <w:bookmarkStart w:id="33" w:name="conclusion"/>
    <w:p>
      <w:pPr>
        <w:pStyle w:val="Heading2"/>
      </w:pPr>
      <w:r>
        <w:t xml:space="preserve">7. CONCLUSION</w:t>
      </w:r>
    </w:p>
    <w:p>
      <w:pPr>
        <w:pStyle w:val="FirstParagraph"/>
      </w:pPr>
      <w:r>
        <w:br/>
      </w:r>
    </w:p>
    <w:p>
      <w:pPr>
        <w:pStyle w:val="BodyText"/>
      </w:pPr>
      <w:r>
        <w:t xml:space="preserve">This laboratory report demonstrates that</w:t>
      </w:r>
      <w:r>
        <w:t xml:space="preserve"> </w:t>
      </w:r>
      <w:r>
        <w:rPr>
          <w:iCs/>
          <w:i/>
        </w:rPr>
        <w:t xml:space="preserve">CHEF</w:t>
      </w:r>
      <w:r>
        <w:t xml:space="preserve"> </w:t>
      </w:r>
      <w:r>
        <w:t xml:space="preserve">is a viable and robust solution for infrastructure automation in the TURKEY ISTANBUL REGION. While minor latency adjustments are necessary for optimal convergence speeds—particularly for Windows workloads—the tool successfully managed configuration drift, applied security policies via INSPEC, and maintained stability across 20 heterogeneous nodes.</w:t>
      </w:r>
    </w:p>
    <w:p>
      <w:pPr>
        <w:pStyle w:val="BodyText"/>
      </w:pPr>
      <w:r>
        <w:br/>
      </w:r>
    </w:p>
    <w:p>
      <w:pPr>
        <w:pStyle w:val="BodyText"/>
      </w:pPr>
      <w:r>
        <w:t xml:space="preserve">FOR FUTURE WORKS, WE RECOMMEND TESTING CHEF AUTOMATE (HABITAT) INTEGRATION TO OBSERVE IF REAL-TIME TELEMETRY IMPROVES MONITORING CAPABILITIES SPECIFICALLY FOR TURKISH MARKET PEAK LOADS. ADDITIONALLY, MIGRATING SOME COOKBOOK ASSETS TO OBJECT STORAGE (S3) WITHIN THE SAME REGION MAY FURTHER ACCELERATE DOWNLOAD TIMES FOR LARGE DEPENDENCIES.</w:t>
      </w:r>
    </w:p>
    <w:p>
      <w:pPr>
        <w:pStyle w:val="BodyText"/>
      </w:pPr>
      <w:r>
        <w:br/>
      </w:r>
    </w:p>
    <w:p>
      <w:pPr>
        <w:pStyle w:val="BodyText"/>
      </w:pPr>
      <w:r>
        <w:t xml:space="preserve">IN SUMMARY, ADOPTING</w:t>
      </w:r>
      <w:r>
        <w:t xml:space="preserve"> </w:t>
      </w:r>
      <w:r>
        <w:rPr>
          <w:bCs/>
          <w:b/>
        </w:rPr>
        <w:t xml:space="preserve">CHEF</w:t>
      </w:r>
      <w:r>
        <w:t xml:space="preserve"> </w:t>
      </w:r>
      <w:r>
        <w:t xml:space="preserve">IN TURKEY ISTANBUL IS STRATEGICALLY SOUND, PROVIDING BOTH TECHNICAL AGILITY AND REGULATORY COMPLIANCE FOR ENTERPRISE INFRASTRUCTURES.</w:t>
      </w:r>
    </w:p>
    <w:p>
      <w:pPr>
        <w:pStyle w:val="BodyText"/>
      </w:pPr>
      <w:r>
        <w:br/>
      </w:r>
    </w:p>
    <w:p>
      <w:r>
        <w:pict>
          <v:rect style="width:0;height:1.5pt" o:hralign="center" o:hrstd="t" o:hr="t"/>
        </w:pict>
      </w:r>
    </w:p>
    <w:p>
      <w:pPr>
        <w:pStyle w:val="FirstParagraph"/>
      </w:pPr>
      <w:r>
        <w:rPr>
          <w:bCs/>
          <w:b/>
        </w:rPr>
        <w:t xml:space="preserve">END OF LAB REPORT</w:t>
      </w:r>
    </w:p>
    <w:p>
      <w:pPr>
        <w:pStyle w:val="BodyText"/>
      </w:pPr>
      <w:r>
        <w:br/>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Chef Integration in Turkey Istanbul</dc:title>
  <dc:creator/>
  <dc:language>en</dc:language>
  <cp:keywords/>
  <dcterms:created xsi:type="dcterms:W3CDTF">2026-07-29T08:49:31Z</dcterms:created>
  <dcterms:modified xsi:type="dcterms:W3CDTF">2026-07-29T08:49:31Z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