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Bangladesh,</w:t>
      </w:r>
      <w:r>
        <w:t xml:space="preserve"> </w:t>
      </w:r>
      <w:r>
        <w:t xml:space="preserve">Dhaka</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Department of Industrial Development, Bangladesh, Dhaka</w:t>
      </w:r>
    </w:p>
    <w:p>
      <w:pPr>
        <w:pStyle w:val="BodyText"/>
      </w:pPr>
      <w:r>
        <w:rPr>
          <w:bCs/>
          <w:b/>
        </w:rPr>
        <w:t xml:space="preserve">From:</w:t>
      </w:r>
      <w:r>
        <w:t xml:space="preserve">Sr. Chemical Engineer LeadPurpose: Assessment of Water Treatment Efficiency and Petrochemical Byproduct Safety in the Dhaka Metropolitan Area.</w:t>
      </w:r>
    </w:p>
    <w:bookmarkEnd w:id="20"/>
    <w:bookmarkStart w:id="21" w:name="introduction"/>
    <w:p>
      <w:pPr>
        <w:pStyle w:val="Heading2"/>
      </w:pPr>
      <w:r>
        <w:t xml:space="preserve">1. Introduction</w:t>
      </w:r>
    </w:p>
    <w:p>
      <w:pPr>
        <w:pStyle w:val="FirstParagraph"/>
      </w:pPr>
      <w:r>
        <w:t xml:space="preserve">The rapid industrialization of Bangladesh, specifically within the capital city of Dhaka, has presented both economic opportunities and significant environmental challenges. As a prominent hub for textiles, pharmaceuticals, and petrochemicals in South Asia, Dhaka requires rigorous adherence to chemical engineering principles to ensure public health and environmental sustainability. This laboratory report details the findings from recent testing conducted on water samples collected from industrial effluent discharge points across Dhaka.</w:t>
      </w:r>
    </w:p>
    <w:p>
      <w:pPr>
        <w:pStyle w:val="BodyText"/>
      </w:pPr>
      <w:r>
        <w:t xml:space="preserve">The primary objective of this study is to evaluate the efficacy of current filtration systems utilized by local manufacturing plants. As a Chemical Engineer operating in this region, it is imperative to understand how chemical processes interact with the unique hydrological conditions of Bangladesh. The Ganges-Brahmaputra-Meghna river system, which serves as Dhaka’s primary water source, is increasingly under threat from industrial pollutants. Therefore, this report aims to provide actionable data for improving chemical engineering practices in Dhaka to mitigate contamination risks.</w:t>
      </w:r>
    </w:p>
    <w:bookmarkEnd w:id="21"/>
    <w:bookmarkStart w:id="24" w:name="methodology"/>
    <w:p>
      <w:pPr>
        <w:pStyle w:val="Heading2"/>
      </w:pPr>
      <w:r>
        <w:t xml:space="preserve">2. Methodology</w:t>
      </w:r>
    </w:p>
    <w:p>
      <w:pPr>
        <w:pStyle w:val="FirstParagraph"/>
      </w:pPr>
      <w:r>
        <w:t xml:space="preserve">To ensure the accuracy and reliability of the results, a standardized laboratory protocol was followed. The study involved three main phases: sample collection, chemical analysis, and data interpretation.</w:t>
      </w:r>
    </w:p>
    <w:bookmarkStart w:id="22" w:name="sample-collection"/>
    <w:p>
      <w:pPr>
        <w:pStyle w:val="Heading3"/>
      </w:pPr>
      <w:r>
        <w:t xml:space="preserve">2.1 Sample Collection</w:t>
      </w:r>
    </w:p>
    <w:p>
      <w:pPr>
        <w:pStyle w:val="FirstParagraph"/>
      </w:pPr>
      <w:r>
        <w:t xml:space="preserve">Samples were collected from five major industrial zones in Dhaka: Mirpur (Textiles), Gazipur (Heavy Industry), Uttara (Pharmaceuticals), Demra (Petrochemicals), and Keraniganj (General Manufacturing). Water samples were taken at both the inlet of the treatment facility and the outlet after processing. All samples were stored in sterile, amber glass bottles to prevent photo-degradation of sensitive chemical compounds during transport to the central laboratory in Dhaka.</w:t>
      </w:r>
    </w:p>
    <w:bookmarkEnd w:id="22"/>
    <w:bookmarkStart w:id="23" w:name="chemical-analysis"/>
    <w:p>
      <w:pPr>
        <w:pStyle w:val="Heading3"/>
      </w:pPr>
      <w:r>
        <w:t xml:space="preserve">2.2 Chemical Analysis</w:t>
      </w:r>
    </w:p>
    <w:p>
      <w:pPr>
        <w:pStyle w:val="FirstParagraph"/>
      </w:pPr>
      <w:r>
        <w:t xml:space="preserve">The following parameters were analyzed using advanced spectroscopic and chromatographic techniques:</w:t>
      </w:r>
    </w:p>
    <w:p>
      <w:pPr>
        <w:numPr>
          <w:ilvl w:val="0"/>
          <w:numId w:val="1001"/>
        </w:numPr>
        <w:pStyle w:val="Compact"/>
      </w:pPr>
      <w:r>
        <w:rPr>
          <w:bCs/>
          <w:b/>
        </w:rPr>
        <w:t xml:space="preserve">pH Levels:</w:t>
      </w:r>
      <w:r>
        <w:t xml:space="preserve"> </w:t>
      </w:r>
      <w:r>
        <w:t xml:space="preserve">Measured using calibrated digital pH meters to assess acidity and alkalinity.</w:t>
      </w:r>
    </w:p>
    <w:p>
      <w:pPr>
        <w:numPr>
          <w:ilvl w:val="0"/>
          <w:numId w:val="1001"/>
        </w:numPr>
        <w:pStyle w:val="Compact"/>
      </w:pPr>
      <w:r>
        <w:rPr>
          <w:bCs/>
          <w:b/>
        </w:rPr>
        <w:t xml:space="preserve">Critical Oxygen Demand (COD):</w:t>
      </w:r>
      <w:r>
        <w:t xml:space="preserve">A measure of the amount of oxygen required to oxidize organic and inorganic materials in the water. High COD levels indicate significant pollution.</w:t>
      </w:r>
    </w:p>
    <w:p>
      <w:pPr>
        <w:numPr>
          <w:ilvl w:val="0"/>
          <w:numId w:val="1001"/>
        </w:numPr>
        <w:pStyle w:val="Compact"/>
      </w:pPr>
      <w:r>
        <w:rPr>
          <w:bCs/>
          <w:b/>
        </w:rPr>
        <w:t xml:space="preserve">Total Dissolved Solids (TDS):</w:t>
      </w:r>
      <w:r>
        <w:t xml:space="preserve"> </w:t>
      </w:r>
      <w:r>
        <w:t xml:space="preserve">To evaluate the concentration of dissolved substances, including minerals, salts, and metals.</w:t>
      </w:r>
    </w:p>
    <w:p>
      <w:pPr>
        <w:numPr>
          <w:ilvl w:val="0"/>
          <w:numId w:val="1001"/>
        </w:numPr>
        <w:pStyle w:val="Compact"/>
      </w:pPr>
      <w:r>
        <w:rPr>
          <w:bCs/>
          <w:b/>
        </w:rPr>
        <w:t xml:space="preserve">Heavy Metal Concentration:</w:t>
      </w:r>
    </w:p>
    <w:bookmarkEnd w:id="23"/>
    <w:bookmarkEnd w:id="24"/>
    <w:bookmarkStart w:id="25" w:name="results"/>
    <w:p>
      <w:pPr>
        <w:pStyle w:val="Heading2"/>
      </w:pPr>
      <w:r>
        <w:t xml:space="preserve">3. Results</w:t>
      </w:r>
    </w:p>
    <w:p>
      <w:pPr>
        <w:pStyle w:val="FirstParagraph"/>
      </w:pPr>
      <w:r>
        <w:t xml:space="preserve">The laboratory analysis yielded significant variations across the different industrial zones in Dhaka. The data highlights critical areas where chemical engineering interventions are urgently needed.</w:t>
      </w:r>
    </w:p>
    <w:p>
      <w:pPr>
        <w:pStyle w:val="BodyText"/>
      </w:pPr>
      <w:r>
        <w:rPr>
          <w:bCs/>
          <w:b/>
        </w:rPr>
        <w:t xml:space="preserve">Location (Zone)</w:t>
      </w:r>
    </w:p>
    <w:bookmarkEnd w:id="25"/>
    <w:p>
      <w:pPr>
        <w:pStyle w:val="BodyText"/>
      </w:pPr>
      <w:r>
        <w:rPr>
          <w:bCs/>
          <w:b/>
        </w:rPr>
        <w:t xml:space="preserve">pH Level</w:t>
      </w:r>
    </w:p>
    <w:p>
      <w:pPr>
        <w:pStyle w:val="BodyText"/>
      </w:pPr>
      <w:r>
        <w:rPr>
          <w:bCs/>
          <w:b/>
        </w:rPr>
        <w:t xml:space="preserve">COD (mg/L)</w:t>
      </w:r>
      <w:r>
        <w:rPr>
          <w:bCs/>
          <w:b/>
        </w:rPr>
        <w:t xml:space="preserve"> </w:t>
      </w:r>
      <w:r>
        <w:rPr>
          <w:bCs/>
          <w:b/>
        </w:rPr>
        <w:t xml:space="preserve">th=""</w:t>
      </w:r>
    </w:p>
    <w:p>
      <w:pPr>
        <w:pStyle w:val="BodyText"/>
      </w:pPr>
      <w:r>
        <w:rPr>
          <w:bCs/>
          <w:b/>
        </w:rPr>
        <w:t xml:space="preserve">Industrial Zone in Dhaka</w:t>
      </w:r>
    </w:p>
    <w:p>
      <w:pPr>
        <w:pStyle w:val="BodyText"/>
      </w:pPr>
      <w:r>
        <w:rPr>
          <w:bCs/>
          <w:b/>
        </w:rPr>
        <w:t xml:space="preserve">Average pH</w:t>
      </w:r>
    </w:p>
    <w:p>
      <w:pPr>
        <w:pStyle w:val="BodyText"/>
      </w:pPr>
      <w:r>
        <w:rPr>
          <w:bCs/>
          <w:b/>
        </w:rPr>
        <w:t xml:space="preserve">COD (mg/L)</w:t>
      </w:r>
    </w:p>
    <w:p>
      <w:pPr>
        <w:pStyle w:val="BodyText"/>
      </w:pPr>
      <w:r>
        <w:t xml:space="preserve">TDS (ppm)</w:t>
      </w:r>
      <w:r>
        <w:t xml:space="preserve"> </w:t>
      </w:r>
      <w:r>
        <w:t xml:space="preserve">tr="" td=""&gt;</w:t>
      </w:r>
      <w:r>
        <w:t xml:space="preserve"> </w:t>
      </w:r>
      <w:r>
        <w:t xml:space="preserve">tr="" th=""&gt;</w:t>
      </w:r>
    </w:p>
    <w:p>
      <w:pPr>
        <w:pStyle w:val="BodyText"/>
      </w:pPr>
      <w:r>
        <w:rPr>
          <w:bCs/>
          <w:b/>
        </w:rPr>
        <w:t xml:space="preserve">Parameter</w:t>
      </w:r>
    </w:p>
    <w:p>
      <w:pPr>
        <w:pStyle w:val="BodyText"/>
      </w:pPr>
      <w:r>
        <w:rPr>
          <w:bCs/>
          <w:b/>
        </w:rPr>
        <w:t xml:space="preserve">Mirpur (Textiles)</w:t>
      </w:r>
      <w:r>
        <w:rPr>
          <w:bCs/>
          <w:b/>
        </w:rPr>
        <w:t xml:space="preserve"> </w:t>
      </w:r>
      <w:r>
        <w:rPr>
          <w:bCs/>
          <w:b/>
        </w:rPr>
        <w:t xml:space="preserve">tr="" td=""&gt;</w:t>
      </w:r>
      <w:r>
        <w:rPr>
          <w:bCs/>
          <w:b/>
        </w:rPr>
        <w:t xml:space="preserve"> </w:t>
      </w:r>
      <w:r>
        <w:rPr>
          <w:bCs/>
          <w:b/>
        </w:rPr>
        <w:t xml:space="preserve">tr="" th=""&gt;</w:t>
      </w:r>
    </w:p>
    <w:p>
      <w:pPr>
        <w:pStyle w:val="BodyText"/>
      </w:pPr>
      <w:r>
        <w:rPr>
          <w:bCs/>
          <w:b/>
        </w:rPr>
        <w:t xml:space="preserve">Metric</w:t>
      </w:r>
    </w:p>
    <w:p>
      <w:pPr>
        <w:pStyle w:val="BodyText"/>
      </w:pPr>
      <w:r>
        <w:rPr>
          <w:bCs/>
          <w:b/>
        </w:rPr>
        <w:t xml:space="preserve">Mirpur (Textiles)</w:t>
      </w:r>
      <w:r>
        <w:rPr>
          <w:bCs/>
          <w:b/>
        </w:rPr>
        <w:t xml:space="preserve"> </w:t>
      </w:r>
      <w:r>
        <w:rPr>
          <w:bCs/>
          <w:b/>
        </w:rPr>
        <w:t xml:space="preserve">tr="" td=""&gt;</w:t>
      </w:r>
      <w:r>
        <w:rPr>
          <w:bCs/>
          <w:b/>
        </w:rPr>
        <w:t xml:space="preserve"> </w:t>
      </w:r>
      <w:r>
        <w:rPr>
          <w:bCs/>
          <w:b/>
        </w:rPr>
        <w:t xml:space="preserve">tr="" th=""&gt;</w:t>
      </w:r>
    </w:p>
    <w:p>
      <w:pPr>
        <w:pStyle w:val="BodyText"/>
      </w:pPr>
      <w:r>
        <w:rPr>
          <w:bCs/>
          <w:b/>
        </w:rPr>
        <w:t xml:space="preserve">pH</w:t>
      </w:r>
      <w:r>
        <w:rPr>
          <w:bCs/>
          <w:b/>
        </w:rPr>
        <w:t xml:space="preserve"> </w:t>
      </w:r>
      <w:r>
        <w:rPr>
          <w:bCs/>
          <w:b/>
        </w:rPr>
        <w:t xml:space="preserve">tr="" th=""&gt;</w:t>
      </w:r>
    </w:p>
    <w:p>
      <w:pPr>
        <w:pStyle w:val="BodyText"/>
      </w:pPr>
      <w:r>
        <w:rPr>
          <w:bCs/>
          <w:b/>
        </w:rPr>
        <w:t xml:space="preserve">COD (mg/L)</w:t>
      </w:r>
      <w:r>
        <w:rPr>
          <w:bCs/>
          <w:b/>
        </w:rPr>
        <w:t xml:space="preserve"> </w:t>
      </w:r>
      <w:r>
        <w:rPr>
          <w:bCs/>
          <w:b/>
        </w:rPr>
        <w:t xml:space="preserve">tr="" th=""&gt;</w:t>
      </w:r>
    </w:p>
    <w:p>
      <w:pPr>
        <w:pStyle w:val="BodyText"/>
      </w:pPr>
      <w:r>
        <w:rPr>
          <w:bCs/>
          <w:b/>
        </w:rPr>
        <w:t xml:space="preserve">TDS (ppm)</w:t>
      </w:r>
      <w:r>
        <w:rPr>
          <w:bCs/>
          <w:b/>
        </w:rPr>
        <w:t xml:space="preserve"> </w:t>
      </w:r>
      <w:r>
        <w:rPr>
          <w:bCs/>
          <w:b/>
        </w:rPr>
        <w:t xml:space="preserve">tr="" th=""&gt;</w:t>
      </w:r>
    </w:p>
    <w:p>
      <w:pPr>
        <w:pStyle w:val="BodyText"/>
      </w:pPr>
      <w:r>
        <w:rPr>
          <w:bCs/>
          <w:b/>
        </w:rPr>
        <w:t xml:space="preserve">Arsenic (ppb)</w:t>
      </w:r>
      <w:r>
        <w:rPr>
          <w:bCs/>
          <w:b/>
        </w:rPr>
        <w:t xml:space="preserve"> </w:t>
      </w:r>
      <w:r>
        <w:rPr>
          <w:bCs/>
          <w:b/>
        </w:rPr>
        <w:t xml:space="preserve">tr="" th=""&gt;</w:t>
      </w:r>
    </w:p>
    <w:p>
      <w:pPr>
        <w:pStyle w:val="BodyText"/>
      </w:pPr>
      <w:r>
        <w:rPr>
          <w:bCs/>
          <w:b/>
        </w:rPr>
        <w:t xml:space="preserve">Mirpur (Textiles)</w:t>
      </w:r>
      <w:r>
        <w:rPr>
          <w:bCs/>
          <w:b/>
        </w:rPr>
        <w:t xml:space="preserve"> </w:t>
      </w:r>
      <w:r>
        <w:rPr>
          <w:bCs/>
          <w:b/>
        </w:rPr>
        <w:t xml:space="preserve">tr="" th=""&gt;</w:t>
      </w:r>
    </w:p>
    <w:p>
      <w:pPr>
        <w:pStyle w:val="BodyText"/>
      </w:pPr>
      <w:r>
        <w:rPr>
          <w:bCs/>
          <w:b/>
        </w:rPr>
        <w:t xml:space="preserve">7.2</w:t>
      </w:r>
      <w:r>
        <w:rPr>
          <w:bCs/>
          <w:b/>
        </w:rPr>
        <w:t xml:space="preserve"> </w:t>
      </w:r>
      <w:r>
        <w:rPr>
          <w:bCs/>
          <w:b/>
        </w:rPr>
        <w:t xml:space="preserve">tr="" th=""&gt;</w:t>
      </w:r>
    </w:p>
    <w:p>
      <w:pPr>
        <w:pStyle w:val="BodyText"/>
      </w:pPr>
      <w:r>
        <w:rPr>
          <w:bCs/>
          <w:b/>
        </w:rPr>
        <w:t xml:space="preserve">345</w:t>
      </w:r>
      <w:r>
        <w:rPr>
          <w:bCs/>
          <w:b/>
        </w:rPr>
        <w:t xml:space="preserve"> </w:t>
      </w:r>
      <w:r>
        <w:rPr>
          <w:bCs/>
          <w:b/>
        </w:rPr>
        <w:t xml:space="preserve">tr="" th=""&gt;</w:t>
      </w:r>
    </w:p>
    <w:p>
      <w:pPr>
        <w:pStyle w:val="BodyText"/>
      </w:pPr>
      <w:r>
        <w:rPr>
          <w:bCs/>
          <w:b/>
        </w:rPr>
        <w:t xml:space="preserve">680</w:t>
      </w:r>
      <w:r>
        <w:rPr>
          <w:bCs/>
          <w:b/>
        </w:rPr>
        <w:t xml:space="preserve"> </w:t>
      </w:r>
      <w:r>
        <w:rPr>
          <w:bCs/>
          <w:b/>
        </w:rPr>
        <w:t xml:space="preserve">tr="" th=""&gt;</w:t>
      </w:r>
    </w:p>
    <w:p>
      <w:pPr>
        <w:pStyle w:val="BodyText"/>
      </w:pPr>
      <w:r>
        <w:rPr>
          <w:bCs/>
          <w:b/>
        </w:rPr>
        <w:t xml:space="preserve">18</w:t>
      </w:r>
      <w:r>
        <w:rPr>
          <w:bCs/>
          <w:b/>
        </w:rPr>
        <w:t xml:space="preserve"> </w:t>
      </w:r>
      <w:r>
        <w:rPr>
          <w:bCs/>
          <w:b/>
        </w:rPr>
        <w:t xml:space="preserve">tr="" th=""&gt;</w:t>
      </w:r>
    </w:p>
    <w:p>
      <w:pPr>
        <w:pStyle w:val="BodyText"/>
      </w:pPr>
      <w:r>
        <w:rPr>
          <w:bCs/>
          <w:b/>
        </w:rPr>
        <w:t xml:space="preserve">Gazipur (Heavy Industry)</w:t>
      </w:r>
      <w:r>
        <w:rPr>
          <w:bCs/>
          <w:b/>
        </w:rPr>
        <w:t xml:space="preserve"> </w:t>
      </w:r>
      <w:r>
        <w:rPr>
          <w:bCs/>
          <w:b/>
        </w:rPr>
        <w:t xml:space="preserve">tr="" th=""&gt;</w:t>
      </w:r>
    </w:p>
    <w:p>
      <w:pPr>
        <w:pStyle w:val="BodyText"/>
      </w:pPr>
      <w:r>
        <w:rPr>
          <w:bCs/>
          <w:b/>
        </w:rPr>
        <w:t xml:space="preserve">6.4</w:t>
      </w:r>
      <w:r>
        <w:rPr>
          <w:bCs/>
          <w:b/>
        </w:rPr>
        <w:t xml:space="preserve"> </w:t>
      </w:r>
      <w:r>
        <w:rPr>
          <w:bCs/>
          <w:b/>
        </w:rPr>
        <w:t xml:space="preserve">tr="" th=""&gt;</w:t>
      </w:r>
    </w:p>
    <w:p>
      <w:pPr>
        <w:pStyle w:val="BodyText"/>
      </w:pPr>
      <w:r>
        <w:rPr>
          <w:bCs/>
          <w:b/>
        </w:rPr>
        <w:t xml:space="preserve">892</w:t>
      </w:r>
      <w:r>
        <w:rPr>
          <w:bCs/>
          <w:b/>
        </w:rPr>
        <w:t xml:space="preserve"> </w:t>
      </w:r>
      <w:r>
        <w:rPr>
          <w:bCs/>
          <w:b/>
        </w:rPr>
        <w:t xml:space="preserve">tr="" th=""&gt;</w:t>
      </w:r>
    </w:p>
    <w:p>
      <w:pPr>
        <w:pStyle w:val="BodyText"/>
      </w:pPr>
      <w:r>
        <w:rPr>
          <w:bCs/>
          <w:b/>
        </w:rPr>
        <w:t xml:space="preserve">1,240</w:t>
      </w:r>
      <w:r>
        <w:rPr>
          <w:bCs/>
          <w:b/>
        </w:rPr>
        <w:t xml:space="preserve"> </w:t>
      </w:r>
      <w:r>
        <w:rPr>
          <w:bCs/>
          <w:b/>
        </w:rPr>
        <w:t xml:space="preserve">tr="" th=""&gt;</w:t>
      </w:r>
    </w:p>
    <w:p>
      <w:pPr>
        <w:pStyle w:val="BodyText"/>
      </w:pPr>
      <w:r>
        <w:rPr>
          <w:bCs/>
          <w:b/>
        </w:rPr>
        <w:t xml:space="preserve">45</w:t>
      </w:r>
      <w:r>
        <w:rPr>
          <w:bCs/>
          <w:b/>
        </w:rPr>
        <w:t xml:space="preserve"> </w:t>
      </w:r>
      <w:r>
        <w:rPr>
          <w:bCs/>
          <w:b/>
        </w:rPr>
        <w:t xml:space="preserve">tr="" th=""&gt;</w:t>
      </w:r>
    </w:p>
    <w:p>
      <w:pPr>
        <w:pStyle w:val="BodyText"/>
      </w:pPr>
      <w:r>
        <w:rPr>
          <w:bCs/>
          <w:b/>
        </w:rPr>
        <w:t xml:space="preserve">Uttara (Pharmaceuticals)</w:t>
      </w:r>
      <w:r>
        <w:rPr>
          <w:bCs/>
          <w:b/>
        </w:rPr>
        <w:t xml:space="preserve"> </w:t>
      </w:r>
      <w:r>
        <w:rPr>
          <w:bCs/>
          <w:b/>
        </w:rPr>
        <w:t xml:space="preserve">tr="" th=""&gt;</w:t>
      </w:r>
    </w:p>
    <w:p>
      <w:pPr>
        <w:pStyle w:val="BodyText"/>
      </w:pPr>
      <w:r>
        <w:rPr>
          <w:bCs/>
          <w:b/>
        </w:rPr>
        <w:t xml:space="preserve">7.5</w:t>
      </w:r>
      <w:r>
        <w:rPr>
          <w:bCs/>
          <w:b/>
        </w:rPr>
        <w:t xml:space="preserve"> </w:t>
      </w:r>
      <w:r>
        <w:rPr>
          <w:bCs/>
          <w:b/>
        </w:rPr>
        <w:t xml:space="preserve">tr="" th=""&gt;</w:t>
      </w:r>
    </w:p>
    <w:p>
      <w:pPr>
        <w:pStyle w:val="BodyText"/>
      </w:pPr>
      <w:r>
        <w:rPr>
          <w:bCs/>
          <w:b/>
        </w:rPr>
        <w:t xml:space="preserve">125</w:t>
      </w:r>
      <w:r>
        <w:rPr>
          <w:bCs/>
          <w:b/>
        </w:rPr>
        <w:t xml:space="preserve"> </w:t>
      </w:r>
      <w:r>
        <w:rPr>
          <w:bCs/>
          <w:b/>
        </w:rPr>
        <w:t xml:space="preserve">tr="" th=""&gt;</w:t>
      </w:r>
    </w:p>
    <w:p>
      <w:pPr>
        <w:pStyle w:val="BodyText"/>
      </w:pPr>
      <w:r>
        <w:rPr>
          <w:bCs/>
          <w:b/>
        </w:rPr>
        <w:t xml:space="preserve">410</w:t>
      </w:r>
      <w:r>
        <w:rPr>
          <w:bCs/>
          <w:b/>
        </w:rPr>
        <w:t xml:space="preserve"> </w:t>
      </w:r>
      <w:r>
        <w:rPr>
          <w:bCs/>
          <w:b/>
        </w:rPr>
        <w:t xml:space="preserve">tr="" th=""&gt;</w:t>
      </w:r>
    </w:p>
    <w:p>
      <w:pPr>
        <w:pStyle w:val="BodyText"/>
      </w:pPr>
      <w:r>
        <w:rPr>
          <w:bCs/>
          <w:b/>
        </w:rPr>
        <w:t xml:space="preserve">5</w:t>
      </w:r>
      <w:r>
        <w:rPr>
          <w:bCs/>
          <w:b/>
        </w:rPr>
        <w:t xml:space="preserve"> </w:t>
      </w:r>
      <w:r>
        <w:rPr>
          <w:bCs/>
          <w:b/>
        </w:rPr>
        <w:t xml:space="preserve">tr="" th=""&gt;</w:t>
      </w:r>
    </w:p>
    <w:p>
      <w:pPr>
        <w:pStyle w:val="BodyText"/>
      </w:pPr>
      <w:r>
        <w:rPr>
          <w:bCs/>
          <w:b/>
        </w:rPr>
        <w:t xml:space="preserve">Demra (Petrochemicals)</w:t>
      </w:r>
      <w:r>
        <w:rPr>
          <w:bCs/>
          <w:b/>
        </w:rPr>
        <w:t xml:space="preserve"> </w:t>
      </w:r>
      <w:r>
        <w:rPr>
          <w:bCs/>
          <w:b/>
        </w:rPr>
        <w:t xml:space="preserve">tr="" th=""&gt;</w:t>
      </w:r>
    </w:p>
    <w:p>
      <w:pPr>
        <w:pStyle w:val="BodyText"/>
      </w:pPr>
      <w:r>
        <w:rPr>
          <w:bCs/>
          <w:b/>
        </w:rPr>
        <w:t xml:space="preserve">6.8</w:t>
      </w:r>
      <w:r>
        <w:rPr>
          <w:bCs/>
          <w:b/>
        </w:rPr>
        <w:t xml:space="preserve"> </w:t>
      </w:r>
      <w:r>
        <w:rPr>
          <w:bCs/>
          <w:b/>
        </w:rPr>
        <w:t xml:space="preserve">tr="" th=""&gt;</w:t>
      </w:r>
    </w:p>
    <w:p>
      <w:pPr>
        <w:pStyle w:val="BodyText"/>
      </w:pPr>
      <w:r>
        <w:rPr>
          <w:bCs/>
          <w:b/>
        </w:rPr>
        <w:t xml:space="preserve">567</w:t>
      </w:r>
      <w:r>
        <w:rPr>
          <w:bCs/>
          <w:b/>
        </w:rPr>
        <w:t xml:space="preserve"> </w:t>
      </w:r>
      <w:r>
        <w:rPr>
          <w:bCs/>
          <w:b/>
        </w:rPr>
        <w:t xml:space="preserve">tr="" th=""&gt;</w:t>
      </w:r>
    </w:p>
    <w:p>
      <w:pPr>
        <w:pStyle w:val="BodyText"/>
      </w:pPr>
      <w:r>
        <w:rPr>
          <w:bCs/>
          <w:b/>
        </w:rPr>
        <w:t xml:space="preserve">985</w:t>
      </w:r>
      <w:r>
        <w:rPr>
          <w:bCs/>
          <w:b/>
        </w:rPr>
        <w:t xml:space="preserve"> </w:t>
      </w:r>
      <w:r>
        <w:rPr>
          <w:bCs/>
          <w:b/>
        </w:rPr>
        <w:t xml:space="preserve">tr="" th=""&gt;</w:t>
      </w:r>
    </w:p>
    <w:p>
      <w:pPr>
        <w:pStyle w:val="BodyText"/>
      </w:pPr>
      <w:r>
        <w:rPr>
          <w:bCs/>
          <w:b/>
        </w:rPr>
        <w:t xml:space="preserve">32</w:t>
      </w:r>
      <w:r>
        <w:rPr>
          <w:bCs/>
          <w:b/>
        </w:rPr>
        <w:t xml:space="preserve"> </w:t>
      </w:r>
      <w:r>
        <w:rPr>
          <w:bCs/>
          <w:b/>
        </w:rPr>
        <w:t xml:space="preserve">tr="" th=""&gt;</w:t>
      </w:r>
    </w:p>
    <w:p>
      <w:pPr>
        <w:pStyle w:val="BodyText"/>
      </w:pPr>
      <w:r>
        <w:rPr>
          <w:bCs/>
          <w:b/>
        </w:rPr>
        <w:t xml:space="preserve">Keraniganj (General)</w:t>
      </w:r>
      <w:r>
        <w:rPr>
          <w:bCs/>
          <w:b/>
        </w:rPr>
        <w:t xml:space="preserve"> </w:t>
      </w:r>
      <w:r>
        <w:rPr>
          <w:bCs/>
          <w:b/>
        </w:rPr>
        <w:t xml:space="preserve">tr="" th=""&gt;</w:t>
      </w:r>
    </w:p>
    <w:p>
      <w:pPr>
        <w:pStyle w:val="BodyText"/>
      </w:pPr>
      <w:r>
        <w:rPr>
          <w:bCs/>
          <w:b/>
        </w:rPr>
        <w:t xml:space="preserve">7.9</w:t>
      </w:r>
      <w:r>
        <w:rPr>
          <w:bCs/>
          <w:b/>
        </w:rPr>
        <w:t xml:space="preserve"> </w:t>
      </w:r>
      <w:r>
        <w:rPr>
          <w:bCs/>
          <w:b/>
        </w:rPr>
        <w:t xml:space="preserve">tr="" th=""&gt;</w:t>
      </w:r>
    </w:p>
    <w:p>
      <w:pPr>
        <w:pStyle w:val="BodyText"/>
      </w:pPr>
      <w:r>
        <w:rPr>
          <w:bCs/>
          <w:b/>
        </w:rPr>
        <w:t xml:space="preserve">210</w:t>
      </w:r>
      <w:r>
        <w:rPr>
          <w:bCs/>
          <w:b/>
        </w:rPr>
        <w:t xml:space="preserve"> </w:t>
      </w:r>
      <w:r>
        <w:rPr>
          <w:bCs/>
          <w:b/>
        </w:rPr>
        <w:t xml:space="preserve">tr="" th=""&gt;</w:t>
      </w:r>
    </w:p>
    <w:p>
      <w:pPr>
        <w:pStyle w:val="BodyText"/>
      </w:pPr>
      <w:r>
        <w:rPr>
          <w:bCs/>
          <w:b/>
        </w:rPr>
        <w:t xml:space="preserve">530</w:t>
      </w:r>
      <w:r>
        <w:rPr>
          <w:bCs/>
          <w:b/>
        </w:rPr>
        <w:t xml:space="preserve"> </w:t>
      </w:r>
      <w:r>
        <w:rPr>
          <w:bCs/>
          <w:b/>
        </w:rPr>
        <w:t xml:space="preserve">tr="" th=""&gt;</w:t>
      </w:r>
    </w:p>
    <w:p>
      <w:pPr>
        <w:pStyle w:val="BodyText"/>
      </w:pPr>
      <w:r>
        <w:rPr>
          <w:bCs/>
          <w:b/>
        </w:rPr>
        <w:t xml:space="preserve">22</w:t>
      </w:r>
      <w:r>
        <w:rPr>
          <w:bCs/>
          <w:b/>
        </w:rPr>
        <w:t xml:space="preserve"> </w:t>
      </w:r>
      <w:r>
        <w:rPr>
          <w:bCs/>
          <w:b/>
        </w:rPr>
        <w:t xml:space="preserve">tr="" th=""&gt;</w:t>
      </w:r>
    </w:p>
    <w:bookmarkStart w:id="26" w:name="interpretation-of-data"/>
    <w:p>
      <w:pPr>
        <w:pStyle w:val="Heading3"/>
      </w:pPr>
      <w:r>
        <w:t xml:space="preserve">Interpretation of Data</w:t>
      </w:r>
    </w:p>
    <w:p>
      <w:pPr>
        <w:pStyle w:val="FirstParagraph"/>
      </w:pPr>
      <w:r>
        <w:t xml:space="preserve">The data reveals that the Gazipur industrial zone, known for heavy manufacturing and metal processing, exhibits the highest Chemical Oxygen Demand (COD) and Total Dissolved Solids (TDS). This suggests that the current chemical treatment processes in this area of Dhaka are insufficient to remove organic pollutants effectively. Furthermore, elevated arsenic levels in Mirpur are particularly concerning. While arsenic is often associated with natural groundwater contamination in Bangladesh, industrial activities can exacerbate the release of heavy metals into water bodies.</w:t>
      </w:r>
    </w:p>
    <w:p>
      <w:pPr>
        <w:pStyle w:val="BodyText"/>
      </w:pPr>
      <w:r>
        <w:t xml:space="preserve">Conversely, the pharmaceutical zone in Uttara showed relatively lower pollutant loads, indicating that stricter regulatory compliance and better engineering controls might be more prevalent in this sector. However, even here, there is room for improvement regarding chemical waste segregation before discharge.</w:t>
      </w:r>
    </w:p>
    <w:bookmarkEnd w:id="26"/>
    <w:bookmarkStart w:id="27" w:name="discussion"/>
    <w:p>
      <w:pPr>
        <w:pStyle w:val="Heading2"/>
      </w:pPr>
      <w:r>
        <w:t xml:space="preserve">4. Discussion</w:t>
      </w:r>
    </w:p>
    <w:p>
      <w:pPr>
        <w:pStyle w:val="FirstParagraph"/>
      </w:pPr>
      <w:r>
        <w:t xml:space="preserve">The findings of this laboratory report underscore the critical role that Chemical Engineering plays in the sustainable development of Bangladesh, Dhaka. The high COD levels observed are not merely a regulatory issue but a fundamental engineering challenge. Traditional treatment methods used by smaller factories in Dhaka often rely on simple sedimentation tanks, which fail to break down complex organic compounds.</w:t>
      </w:r>
    </w:p>
    <w:p>
      <w:pPr>
        <w:pStyle w:val="BodyText"/>
      </w:pPr>
      <w:r>
        <w:t xml:space="preserve">As a Chemical Engineer, I recommend the implementation of Advanced Oxidation Processes (AOPs) for textiles and petrochemical industries in Dhaka. AOPs utilize hydroxyl radicals to degrade recalcitrant organic pollutants, thereby significantly reducing COD levels. Additionally, the integration of membrane bioreactors (MBRs) could provide a dual solution for wastewater treatment and water reuse, which is crucial in a densely populated city like Dhaka where freshwater scarcity is an emerging threat.</w:t>
      </w:r>
    </w:p>
    <w:p>
      <w:pPr>
        <w:pStyle w:val="BodyText"/>
      </w:pPr>
      <w:r>
        <w:t xml:space="preserve">Furthermore, the presence of heavy metals necessitates advanced ion-exchange or adsorption techniques. Activated carbon derived from local agricultural waste could be utilized as a cost-effective adsorbent for heavy metal removal, offering a sustainable and economically viable solution for local industries in Bangladesh.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Engineering Applications in Bangladesh, Dhaka</dc:title>
  <dc:creator/>
  <dc:language>en</dc:language>
  <cp:keywords/>
  <dcterms:created xsi:type="dcterms:W3CDTF">2026-07-29T20:13:32Z</dcterms:created>
  <dcterms:modified xsi:type="dcterms:W3CDTF">2026-07-29T20:13:32Z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