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Canada</w:t>
      </w:r>
      <w:r>
        <w:t xml:space="preserve"> </w:t>
      </w:r>
      <w:r>
        <w:t xml:space="preserve">Toronto</w:t>
      </w:r>
    </w:p>
    <w:bookmarkStart w:id="31" w:name="X6ea5f6389da7f7f11dc9cf074c3a92fe67e139c"/>
    <w:p>
      <w:pPr>
        <w:pStyle w:val="Heading1"/>
      </w:pPr>
      <w:r>
        <w:t xml:space="preserve">Laboratory Report on Chemical Engineering Processes and Safety Protocols</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Chemical Engineer Lead</w:t>
      </w:r>
    </w:p>
    <w:p>
      <w:pPr>
        <w:pStyle w:val="BodyText"/>
      </w:pPr>
      <w:r>
        <w:rPr>
          <w:bCs/>
          <w:b/>
        </w:rPr>
        <w:t xml:space="preserve">To:</w:t>
      </w:r>
      <w:r>
        <w:t xml:space="preserve"> </w:t>
      </w:r>
      <w:r>
        <w:t xml:space="preserve">Regulatory Compliance Board of Canada Toronto</w:t>
      </w:r>
    </w:p>
    <w:p>
      <w:pPr>
        <w:pStyle w:val="BodyText"/>
      </w:pPr>
      <w:r>
        <w:rPr>
          <w:bCs/>
          <w:b/>
        </w:rPr>
        <w:t xml:space="preserve">Status:</w:t>
      </w:r>
    </w:p>
    <w:p>
      <w:pPr>
        <w:pStyle w:val="BodyText"/>
      </w:pPr>
      <w:r>
        <w:t xml:space="preserve">Awaiting Final Review and Accreditation for Industrial Implementation in the Greater Toronto Area.</w:t>
      </w:r>
    </w:p>
    <w:bookmarkStart w:id="20" w:name="executive-summary"/>
    <w:p>
      <w:pPr>
        <w:pStyle w:val="Heading2"/>
      </w:pPr>
      <w:r>
        <w:t xml:space="preserve">1. Executive Summary</w:t>
      </w:r>
    </w:p>
    <w:p>
      <w:pPr>
        <w:pStyle w:val="FirstParagraph"/>
      </w:pPr>
      <w:r>
        <w:t xml:space="preserve">This comprehensive laboratory report details the rigorous testing, safety analysis, and process optimization strategies employed by our chemical engineering team. The primary objective of this study is to validate a new catalytic conversion method aimed at reducing volatile organic compound (VOC) emissions in industrial facilities located within Canada Toronto. As the demand for sustainable manufacturing grows in this major Canadian hub, it is imperative that all chemical processes adhere to the strict environmental regulations set forth by both provincial and federal authorities. The results presented herein demonstrate a 45% reduction in hazardous emissions while maintaining production efficiency, thereby aligning with the strategic goals of modern</w:t>
      </w:r>
      <w:r>
        <w:t xml:space="preserve"> </w:t>
      </w:r>
      <w:r>
        <w:rPr>
          <w:bCs/>
          <w:b/>
        </w:rPr>
        <w:t xml:space="preserve">Chemical Engineer</w:t>
      </w:r>
      <w:r>
        <w:t xml:space="preserve"> </w:t>
      </w:r>
      <w:r>
        <w:t xml:space="preserve">professionals operating in this region.</w:t>
      </w:r>
    </w:p>
    <w:bookmarkEnd w:id="20"/>
    <w:bookmarkStart w:id="21" w:name="introduction-and-background"/>
    <w:p>
      <w:pPr>
        <w:pStyle w:val="Heading2"/>
      </w:pPr>
      <w:r>
        <w:t xml:space="preserve">2. Introduction and Background</w:t>
      </w:r>
    </w:p>
    <w:p>
      <w:pPr>
        <w:pStyle w:val="FirstParagraph"/>
      </w:pPr>
      <w:r>
        <w:t xml:space="preserve">The industrial landscape of Canada Toronto is characterized by a diverse mix of manufacturing, pharmaceuticals, and petrochemical processing. As a central hub for trade and industry in Ontario, the city faces unique challenges regarding air quality and waste management. The role of the</w:t>
      </w:r>
      <w:r>
        <w:t xml:space="preserve"> </w:t>
      </w:r>
      <w:r>
        <w:rPr>
          <w:bCs/>
          <w:b/>
        </w:rPr>
        <w:t xml:space="preserve">Chemical Engineer</w:t>
      </w:r>
      <w:r>
        <w:t xml:space="preserve"> </w:t>
      </w:r>
      <w:r>
        <w:t xml:space="preserve">has evolved significantly to address these challenges not only through innovation but also through strict adherence to safety standards. This report documents the laboratory-scale experiments conducted prior to scaling up operations for potential deployment in Toronto-based facilities.</w:t>
      </w:r>
    </w:p>
    <w:p>
      <w:pPr>
        <w:pStyle w:val="BodyText"/>
      </w:pPr>
      <w:r>
        <w:t xml:space="preserve">The background of this study is rooted in the need to comply with the Canadian Environmental Protection Act, which sets stringent limits on industrial pollutants. By focusing on localized solutions tailored to the specific climatic and industrial conditions of Canada Toronto, we aim to provide a replicable model for other industries facing similar regulatory pressures. The integration of green chemistry principles into standard</w:t>
      </w:r>
      <w:r>
        <w:t xml:space="preserve"> </w:t>
      </w:r>
      <w:r>
        <w:rPr>
          <w:bCs/>
          <w:b/>
        </w:rPr>
        <w:t xml:space="preserve">Chemical Engineer</w:t>
      </w:r>
      <w:r>
        <w:t xml:space="preserve"> </w:t>
      </w:r>
      <w:r>
        <w:t xml:space="preserve">workflows is critical for long-term sustainability in this region.</w:t>
      </w:r>
    </w:p>
    <w:bookmarkEnd w:id="21"/>
    <w:bookmarkStart w:id="22" w:name="objectives"/>
    <w:p>
      <w:pPr>
        <w:pStyle w:val="Heading2"/>
      </w:pPr>
      <w:r>
        <w:t xml:space="preserve">3. Objectives</w:t>
      </w:r>
    </w:p>
    <w:p>
      <w:pPr>
        <w:numPr>
          <w:ilvl w:val="0"/>
          <w:numId w:val="1001"/>
        </w:numPr>
        <w:pStyle w:val="Compact"/>
      </w:pPr>
      <w:r>
        <w:t xml:space="preserve">To evaluate the efficacy of a novel catalyst in reducing VOC emissions by at least 40% under simulated industrial conditions.</w:t>
      </w:r>
    </w:p>
    <w:p>
      <w:pPr>
        <w:numPr>
          <w:ilvl w:val="0"/>
          <w:numId w:val="1001"/>
        </w:numPr>
        <w:pStyle w:val="Compact"/>
      </w:pPr>
      <w:r>
        <w:t xml:space="preserve">To ensure all procedures comply with Occupational Health and Safety Act standards applicable in Canada Toronto.</w:t>
      </w:r>
    </w:p>
    <w:p>
      <w:pPr>
        <w:numPr>
          <w:ilvl w:val="0"/>
          <w:numId w:val="1001"/>
        </w:numPr>
        <w:pStyle w:val="Compact"/>
      </w:pPr>
      <w:r>
        <w:t xml:space="preserve">To assess the thermal stability and longevity of the new catalytic material over extended periods, as recommended by best practices for a</w:t>
      </w:r>
      <w:r>
        <w:t xml:space="preserve"> </w:t>
      </w:r>
      <w:r>
        <w:rPr>
          <w:bCs/>
          <w:b/>
        </w:rPr>
        <w:t xml:space="preserve">Chemical Engineer</w:t>
      </w:r>
      <w:r>
        <w:t xml:space="preserve">.</w:t>
      </w:r>
    </w:p>
    <w:p>
      <w:pPr>
        <w:numPr>
          <w:ilvl w:val="0"/>
          <w:numId w:val="1001"/>
        </w:numPr>
        <w:pStyle w:val="Compact"/>
      </w:pPr>
      <w:r>
        <w:t xml:space="preserve">To document cost-benefit analyses regarding the implementation of this technology in existing infrastructures across Canada Toronto.</w:t>
      </w:r>
    </w:p>
    <w:bookmarkEnd w:id="22"/>
    <w:bookmarkStart w:id="25" w:name="methodology"/>
    <w:p>
      <w:pPr>
        <w:pStyle w:val="Heading2"/>
      </w:pPr>
      <w:r>
        <w:t xml:space="preserve">4. Methodology</w:t>
      </w:r>
    </w:p>
    <w:p>
      <w:pPr>
        <w:pStyle w:val="FirstParagraph"/>
      </w:pPr>
      <w:r>
        <w:t xml:space="preserve">The experimental design followed a structured approach typical of professional laboratory reports prepared by a certified</w:t>
      </w:r>
      <w:r>
        <w:t xml:space="preserve"> </w:t>
      </w:r>
      <w:r>
        <w:rPr>
          <w:bCs/>
          <w:b/>
        </w:rPr>
        <w:t xml:space="preserve">Chemical Engineer</w:t>
      </w:r>
      <w:r>
        <w:t xml:space="preserve">. All experiments were conducted in a controlled environment mimicking the pressure and temperature ranges found in typical processing plants within Canada Toronto.</w:t>
      </w:r>
    </w:p>
    <w:bookmarkStart w:id="23" w:name="materials-and-equipment"/>
    <w:p>
      <w:pPr>
        <w:pStyle w:val="Heading3"/>
      </w:pPr>
      <w:r>
        <w:t xml:space="preserve">4.1 Materials and Equipment</w:t>
      </w:r>
    </w:p>
    <w:p>
      <w:pPr>
        <w:pStyle w:val="FirstParagraph"/>
      </w:pPr>
      <w:r>
        <w:t xml:space="preserve">We utilized high-purity reagents sourced from certified Canadian suppliers to ensure consistency. The primary catalyst used was a proprietary metal-organic framework (MOF) designed for high adsorption capacity. Gas chromatography-mass spectrometry (GC-MS) was employed to analyze emission outputs, ensuring data accuracy required for regulatory submissions in Canada Toronto.</w:t>
      </w:r>
    </w:p>
    <w:bookmarkEnd w:id="23"/>
    <w:bookmarkStart w:id="24" w:name="experimental-procedure"/>
    <w:p>
      <w:pPr>
        <w:pStyle w:val="Heading3"/>
      </w:pPr>
      <w:r>
        <w:t xml:space="preserve">4.2 Experimental Procedure</w:t>
      </w:r>
    </w:p>
    <w:p>
      <w:pPr>
        <w:pStyle w:val="FirstParagraph"/>
      </w:pPr>
      <w:r>
        <w:t xml:space="preserve">The baseline emission levels were first established without the use of the new catalyst. Subsequently, incremental doses of the catalyst were introduced into the reaction vessel. Samples were collected at ten-minute intervals over a four-hour period to monitor stability and efficiency. Throughout this process, safety protocols mandated by Canadian labor laws in Canada Toronto were strictly observed, including continuous monitoring for toxic leaks and emergency ventilation activation.</w:t>
      </w:r>
    </w:p>
    <w:bookmarkEnd w:id="24"/>
    <w:bookmarkEnd w:id="25"/>
    <w:bookmarkStart w:id="26" w:name="results"/>
    <w:p>
      <w:pPr>
        <w:pStyle w:val="Heading2"/>
      </w:pPr>
      <w:r>
        <w:t xml:space="preserve">5. Results</w:t>
      </w:r>
    </w:p>
    <w:p>
      <w:pPr>
        <w:pStyle w:val="FirstParagraph"/>
      </w:pPr>
      <w:r>
        <w:t xml:space="preserve">The data collected indicates a significant improvement in emission control. The initial baseline showed VOC levels of 150 parts per million (ppm). Post-catalysis analysis revealed an average reduction to 83 ppm, representing a substantial decrease that exceeds our preliminary targets.</w:t>
      </w:r>
    </w:p>
    <w:p>
      <w:pPr>
        <w:pStyle w:val="BodyText"/>
      </w:pPr>
      <w:r>
        <w:t xml:space="preserve">Time Interval</w:t>
      </w:r>
    </w:p>
    <w:p>
      <w:pPr>
        <w:pStyle w:val="BodyText"/>
      </w:pPr>
      <w:r>
        <w:t xml:space="preserve">VOC Levels (ppm)</w:t>
      </w:r>
    </w:p>
    <w:p>
      <w:pPr>
        <w:pStyle w:val="BodyText"/>
      </w:pPr>
      <w:r>
        <w:t xml:space="preserve">Catalyst Efficiency (%)</w:t>
      </w:r>
    </w:p>
    <w:p>
      <w:pPr>
        <w:pStyle w:val="BodyText"/>
      </w:pPr>
      <w:r>
        <w:t xml:space="preserve">`enter code here`</w:t>
      </w:r>
    </w:p>
    <w:p>
      <w:pPr>
        <w:pStyle w:val="BodyText"/>
      </w:pPr>
      <w:r>
        <w:t xml:space="preserve">T=0 mins (Baseline)</w:t>
      </w:r>
    </w:p>
    <w:p>
      <w:pPr>
        <w:pStyle w:val="BodyText"/>
      </w:pPr>
      <w:r>
        <w:t xml:space="preserve">-</w:t>
      </w:r>
    </w:p>
    <w:p>
      <w:pPr>
        <w:pStyle w:val="BodyText"/>
      </w:pPr>
      <w:r>
        <w:t xml:space="preserve">T=30 mins</w:t>
      </w:r>
    </w:p>
    <w:p>
      <w:pPr>
        <w:pStyle w:val="BodyText"/>
      </w:pPr>
      <w:r>
        <w:t xml:space="preserve">tD&gt;92.546%</w:t>
      </w:r>
    </w:p>
    <w:p>
      <w:pPr>
        <w:pStyle w:val="BodyText"/>
      </w:pPr>
      <w:r>
        <w:t xml:space="preserve">`</w:t>
      </w:r>
    </w:p>
    <w:p>
      <w:pPr>
        <w:pStyle w:val="BodyText"/>
      </w:pPr>
      <w:r>
        <w:t xml:space="preserve">The efficiency stabilized after the first hour, suggesting that the catalyst remains effective for extended operational cycles. These findings are crucial for a</w:t>
      </w:r>
      <w:r>
        <w:t xml:space="preserve"> </w:t>
      </w:r>
      <w:r>
        <w:rPr>
          <w:bCs/>
          <w:b/>
        </w:rPr>
        <w:t xml:space="preserve">Chemical Engineer</w:t>
      </w:r>
      <w:r>
        <w:t xml:space="preserve"> </w:t>
      </w:r>
      <w:r>
        <w:t xml:space="preserve">designing long-term solutions for industries in Canada Toronto, where downtime is costly and regulatory fines are severe.</w:t>
      </w:r>
    </w:p>
    <w:bookmarkEnd w:id="26"/>
    <w:bookmarkStart w:id="27" w:name="discussion"/>
    <w:p>
      <w:pPr>
        <w:pStyle w:val="Heading2"/>
      </w:pPr>
      <w:r>
        <w:t xml:space="preserve">6. Discussion</w:t>
      </w:r>
    </w:p>
    <w:p>
      <w:pPr>
        <w:pStyle w:val="FirstParagraph"/>
      </w:pPr>
      <w:r>
        <w:t xml:space="preserve">The results validate the hypothesis that the new MOF catalyst is highly effective in neutralizing harmful emissions. For a</w:t>
      </w:r>
      <w:r>
        <w:t xml:space="preserve"> </w:t>
      </w:r>
      <w:r>
        <w:rPr>
          <w:bCs/>
          <w:b/>
        </w:rPr>
        <w:t xml:space="preserve">Chemical Engineer</w:t>
      </w:r>
      <w:r>
        <w:t xml:space="preserve">, these data points are not just numbers but indicators of environmental stewardship and regulatory compliance. The ability to achieve such high efficiency without significant energy penalties makes this technology particularly viable for retrofitting older plants in Canada Toronto.</w:t>
      </w:r>
    </w:p>
    <w:p>
      <w:pPr>
        <w:pStyle w:val="BodyText"/>
      </w:pPr>
      <w:r>
        <w:t xml:space="preserve">Furthermore, the thermal stability tests showed minimal degradation over the four-hour period. This durability is essential for commercial viability. In the context of Canada Toronto, where winter temperatures can impact industrial operations, maintaining consistent performance is key. The data suggests that while ambient temperature variations were simulated, the catalyst retained its structural integrity and catalytic activity.</w:t>
      </w:r>
    </w:p>
    <w:p>
      <w:pPr>
        <w:pStyle w:val="BodyText"/>
      </w:pPr>
      <w:r>
        <w:t xml:space="preserve">It is also important to note the economic implications. While initial costs for catalyst implementation are higher than traditional scrubbers, the long-term savings from reduced waste disposal fees and potential tax incentives for green technology in Canada Toronto make this a financially sound investment. A competent</w:t>
      </w:r>
      <w:r>
        <w:t xml:space="preserve"> </w:t>
      </w:r>
      <w:r>
        <w:rPr>
          <w:bCs/>
          <w:b/>
        </w:rPr>
        <w:t xml:space="preserve">Chemical Engineer</w:t>
      </w:r>
      <w:r>
        <w:t xml:space="preserve"> </w:t>
      </w:r>
      <w:r>
        <w:t xml:space="preserve">must balance technical efficacy with economic feasibility, and this report demonstrates that balance.</w:t>
      </w:r>
    </w:p>
    <w:bookmarkEnd w:id="27"/>
    <w:bookmarkStart w:id="28" w:name="safety-and-regulatory-compliance"/>
    <w:p>
      <w:pPr>
        <w:pStyle w:val="Heading2"/>
      </w:pPr>
      <w:r>
        <w:t xml:space="preserve">7. Safety and Regulatory Compliance</w:t>
      </w:r>
    </w:p>
    <w:p>
      <w:pPr>
        <w:pStyle w:val="FirstParagraph"/>
      </w:pPr>
      <w:r>
        <w:t xml:space="preserve">All experiments were conducted in strict accordance with the guidelines set by the Canadian Centre for Occupational Health and Safety (CCOHS). The handling of hazardous materials was performed using fume hoods and personal protective equipment (PPE) as required. This adherence to safety standards is a hallmark of professional practice for any</w:t>
      </w:r>
      <w:r>
        <w:t xml:space="preserve"> </w:t>
      </w:r>
      <w:r>
        <w:rPr>
          <w:bCs/>
          <w:b/>
        </w:rPr>
        <w:t xml:space="preserve">Chemical Engineer</w:t>
      </w:r>
      <w:r>
        <w:t xml:space="preserve"> </w:t>
      </w:r>
      <w:r>
        <w:t xml:space="preserve">working in Canada Toronto. The laboratory maintained a zero-incident record during the testing phase, reinforcing the safety profile of this new technology.</w:t>
      </w:r>
    </w:p>
    <w:bookmarkEnd w:id="28"/>
    <w:bookmarkStart w:id="29" w:name="conclusion"/>
    <w:p>
      <w:pPr>
        <w:pStyle w:val="Heading2"/>
      </w:pPr>
      <w:r>
        <w:t xml:space="preserve">8. Conclusion</w:t>
      </w:r>
    </w:p>
    <w:p>
      <w:pPr>
        <w:pStyle w:val="FirstParagraph"/>
      </w:pPr>
      <w:r>
        <w:t xml:space="preserve">This laboratory report confirms that the novel catalytic process is both effective and safe for industrial application. It offers a viable solution for reducing emissions in alignment with environmental goals in Canada Toronto. The data supports the recommendation to proceed to pilot-scale testing in local facilities.</w:t>
      </w:r>
    </w:p>
    <w:p>
      <w:pPr>
        <w:pStyle w:val="BodyText"/>
      </w:pPr>
      <w:r>
        <w:t xml:space="preserve">The successful execution of this project underscores the critical role of innovation led by skilled</w:t>
      </w:r>
      <w:r>
        <w:t xml:space="preserve"> </w:t>
      </w:r>
      <w:r>
        <w:rPr>
          <w:bCs/>
          <w:b/>
        </w:rPr>
        <w:t xml:space="preserve">Chemical Engineer</w:t>
      </w:r>
      <w:r>
        <w:t xml:space="preserve"> </w:t>
      </w:r>
      <w:r>
        <w:t xml:space="preserve">professionals. By combining rigorous scientific methodology with a deep understanding of local regulatory frameworks in Canada Toronto, we have developed a solution that benefits industry, environment, and public health. Future work will focus on scaling this technology and integrating it with real-time monitoring systems to ensure continuous compliance.</w:t>
      </w:r>
    </w:p>
    <w:bookmarkEnd w:id="29"/>
    <w:bookmarkStart w:id="30" w:name="references"/>
    <w:p>
      <w:pPr>
        <w:pStyle w:val="Heading2"/>
      </w:pPr>
      <w:r>
        <w:t xml:space="preserve">9. References</w:t>
      </w:r>
    </w:p>
    <w:p>
      <w:pPr>
        <w:numPr>
          <w:ilvl w:val="0"/>
          <w:numId w:val="1002"/>
        </w:numPr>
        <w:pStyle w:val="Compact"/>
      </w:pPr>
      <w:r>
        <w:t xml:space="preserve">Council of Canadian Academies. (2019). *The Health Effects of Air Pollution in Canada Toronto*. Ottawa: CCA.</w:t>
      </w:r>
    </w:p>
    <w:p>
      <w:pPr>
        <w:numPr>
          <w:ilvl w:val="0"/>
          <w:numId w:val="1000"/>
        </w:numPr>
        <w:pStyle w:val="Compact"/>
      </w:pPr>
      <w:r>
        <w:t xml:space="preserve">`</w:t>
      </w:r>
      <w:r>
        <w:t xml:space="preserve"> </w:t>
      </w:r>
      <w:r>
        <w:t xml:space="preserve">`enter code here`</w:t>
      </w:r>
    </w:p>
    <w:p>
      <w:pPr>
        <w:numPr>
          <w:ilvl w:val="0"/>
          <w:numId w:val="1002"/>
        </w:numPr>
        <w:pStyle w:val="Compact"/>
      </w:pPr>
      <w:r>
        <w:t xml:space="preserve">Ontario Ministry of the Environment, Conservation and Parks. (2022). *Air Quality Standards for Industrial Zones*. Queen's Printer for Ontario.</w:t>
      </w:r>
    </w:p>
    <w:p>
      <w:pPr>
        <w:numPr>
          <w:ilvl w:val="0"/>
          <w:numId w:val="1000"/>
        </w:numPr>
        <w:pStyle w:val="Compact"/>
      </w:pPr>
      <w:r>
        <w:t xml:space="preserve">`</w:t>
      </w:r>
      <w:r>
        <w:t xml:space="preserve"> </w:t>
      </w:r>
      <w:r>
        <w:t xml:space="preserve">`enter code here`</w:t>
      </w:r>
    </w:p>
    <w:p>
      <w:pPr>
        <w:numPr>
          <w:ilvl w:val="0"/>
          <w:numId w:val="1002"/>
        </w:numPr>
        <w:pStyle w:val="Compact"/>
      </w:pPr>
      <w:r>
        <w:t xml:space="preserve">National Research Council Canada. (2021). *Guidelines for Chemical Processing Safety in Urban Centers*. Ottawa: NRC.</w:t>
      </w:r>
    </w:p>
    <w:p>
      <w:pPr>
        <w:numPr>
          <w:ilvl w:val="0"/>
          <w:numId w:val="1000"/>
        </w:numPr>
        <w:pStyle w:val="Compac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Engineering Applications in Canada Toronto</dc:title>
  <dc:creator/>
  <dc:language>en</dc:language>
  <cp:keywords/>
  <dcterms:created xsi:type="dcterms:W3CDTF">2026-07-29T02:49:31Z</dcterms:created>
  <dcterms:modified xsi:type="dcterms:W3CDTF">2026-07-29T02:49:31Z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