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Application</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Egypt</w:t>
      </w:r>
      <w:r>
        <w:t xml:space="preserve"> </w:t>
      </w:r>
      <w:r>
        <w:t xml:space="preserve">Cairo</w:t>
      </w:r>
    </w:p>
    <w:bookmarkStart w:id="20" w:name="Xb500128b8f64de9ad66a86a40cb7fd868cd26a2"/>
    <w:p>
      <w:pPr>
        <w:pStyle w:val="Heading1"/>
      </w:pPr>
      <w:r>
        <w:t xml:space="preserve">Laboratory Report on Industrial Chemical Processes</w:t>
      </w:r>
    </w:p>
    <w:p>
      <w:pPr>
        <w:pStyle w:val="FirstParagraph"/>
      </w:pPr>
      <w:r>
        <w:rPr>
          <w:bCs/>
          <w:b/>
        </w:rPr>
        <w:t xml:space="preserve">Date:</w:t>
      </w:r>
      <w:r>
        <w:t xml:space="preserve"> </w:t>
      </w:r>
      <w:r>
        <w:t xml:space="preserve">October 24, 2023</w:t>
      </w:r>
      <w:r>
        <w:br/>
      </w:r>
      <w:r>
        <w:rPr>
          <w:bCs/>
          <w:b/>
        </w:rPr>
        <w:t xml:space="preserve">Location:</w:t>
      </w:r>
      <w:r>
        <w:t xml:space="preserve">Nasr City Laboratory Complex, Egypt Cairo</w:t>
      </w:r>
      <w:r>
        <w:br/>
      </w:r>
      <w:r>
        <w:rPr>
          <w:bCs/>
          <w:b/>
        </w:rPr>
        <w:t xml:space="preserve">Prepared By:</w:t>
      </w:r>
      <w:r>
        <w:t xml:space="preserve"> </w:t>
      </w:r>
      <w:r>
        <w:t xml:space="preserve">Lead Chemical Engineer</w:t>
      </w:r>
      <w:r>
        <w:br/>
      </w:r>
    </w:p>
    <w:bookmarkEnd w:id="20"/>
    <w:bookmarkStart w:id="21" w:name="abstract"/>
    <w:p>
      <w:pPr>
        <w:pStyle w:val="Heading2"/>
      </w:pPr>
      <w:r>
        <w:t xml:space="preserve">1. Abstract</w:t>
      </w:r>
    </w:p>
    <w:p>
      <w:pPr>
        <w:pStyle w:val="FirstParagraph"/>
      </w:pPr>
      <w:r>
        <w:t xml:space="preserve">This laboratory report details the comprehensive analysis and engineering interventions conducted to optimize water treatment protocols within the rapidly expanding urban infrastructure of Egypt Cairo. As a premier Chemical Engineer overseeing operations in this historic yet modernizing metropolis, it is imperative to address the dual challenges of population density and industrial effluent management. The primary objective was to enhance the efficiency of coagulation-flocculation processes using locally sourced materials mixed with advanced synthetic polymers. The results indicate a 24% increase in turbidity removal efficiency, significantly improving potable water standards for local communities in Egypt Cairo.</w:t>
      </w:r>
    </w:p>
    <w:bookmarkEnd w:id="21"/>
    <w:bookmarkStart w:id="22" w:name="introduction-and-background"/>
    <w:p>
      <w:pPr>
        <w:pStyle w:val="Heading2"/>
      </w:pPr>
      <w:r>
        <w:t xml:space="preserve">2. Introduction and Background</w:t>
      </w:r>
    </w:p>
    <w:p>
      <w:pPr>
        <w:pStyle w:val="FirstParagraph"/>
      </w:pPr>
      <w:r>
        <w:t xml:space="preserve">The role of the Chemical Engineer extends beyond theoretical chemistry; it encompasses the practical application of scientific principles to solve real-world industrial problems. In the context of Egypt Cairo, one of Africa’s largest metropolitan areas, the demand for clean water is critical for public health and industrial continuity. The traditional treatment methods currently employed in various municipal plants face limitations due to varying raw water quality from the Nile River and increasing contamination from urban runoff.</w:t>
      </w:r>
    </w:p>
    <w:p>
      <w:pPr>
        <w:pStyle w:val="BodyText"/>
      </w:pPr>
      <w:r>
        <w:t xml:space="preserve">This report aims to document the experimental procedures undertaken by our team of Chemical Engineers to refine these processes. The study focuses on the modification of standard operating procedures (SOPs) currently in use across select facilities in Egypt Cairo. By integrating modern chemical engineering techniques with local resource availability, we seek to create a sustainable model for water treatment that is both cost-effective and environmentally responsible.</w:t>
      </w:r>
    </w:p>
    <w:bookmarkEnd w:id="22"/>
    <w:bookmarkStart w:id="23" w:name="objectives"/>
    <w:p>
      <w:pPr>
        <w:pStyle w:val="Heading2"/>
      </w:pPr>
      <w:r>
        <w:t xml:space="preserve">3. Objectives</w:t>
      </w:r>
    </w:p>
    <w:p>
      <w:pPr>
        <w:numPr>
          <w:ilvl w:val="0"/>
          <w:numId w:val="1001"/>
        </w:numPr>
        <w:pStyle w:val="Compact"/>
      </w:pPr>
      <w:r>
        <w:t xml:space="preserve">To evaluate the current performance metrics of existing coagulation agents used in Egypt Cairo municipal plants.</w:t>
      </w:r>
    </w:p>
    <w:p>
      <w:pPr>
        <w:numPr>
          <w:ilvl w:val="0"/>
          <w:numId w:val="1001"/>
        </w:numPr>
        <w:pStyle w:val="Compact"/>
      </w:pPr>
      <w:r>
        <w:t xml:space="preserve">To test the efficacy of a hybrid coagulant system comprising Aluminum Sulfate and modified starch derivatives derived from local agricultural byproducts.</w:t>
      </w:r>
    </w:p>
    <w:bookmarkEnd w:id="23"/>
    <w:bookmarkStart w:id="24" w:name="methodology"/>
    <w:p>
      <w:pPr>
        <w:pStyle w:val="Heading2"/>
      </w:pPr>
      <w:r>
        <w:t xml:space="preserve">4. Methodology</w:t>
      </w:r>
    </w:p>
    <w:p>
      <w:pPr>
        <w:pStyle w:val="FirstParagraph"/>
      </w:pPr>
      <w:r>
        <w:rPr>
          <w:bCs/>
          <w:b/>
        </w:rPr>
        <w:t xml:space="preserve">4.1 Materials and Reagents</w:t>
      </w:r>
      <w:r>
        <w:br/>
      </w:r>
      <w:r>
        <w:t xml:space="preserve">All chemicals were of analytical grade. The primary coagulant tested was commercial Aluminum Sulfate (Alum). The secondary agent was a cationic polymer modified with cassava starch, sourced from agricultural suppliers within the Greater Cairo area. This choice reflects the Chemical Engineer's responsibility to utilize sustainable, locally available resources where possible.</w:t>
      </w:r>
    </w:p>
    <w:p>
      <w:pPr>
        <w:pStyle w:val="BodyText"/>
      </w:pPr>
      <w:r>
        <w:rPr>
          <w:bCs/>
          <w:b/>
        </w:rPr>
        <w:t xml:space="preserve">4.2 Experimental Setup</w:t>
      </w:r>
      <w:r>
        <w:br/>
      </w:r>
      <w:r>
        <w:t xml:space="preserve">Jar tests were conducted using a six-station jar stirrer apparatus in accordance with Standard Methods for the Examination of Water and Wastewater. Raw water samples were collected from the intake points of three major treatment facilities in Egypt Cairo to ensure representative variability in turbidity and pH levels.</w:t>
      </w:r>
    </w:p>
    <w:p>
      <w:pPr>
        <w:pStyle w:val="BodyText"/>
      </w:pPr>
      <w:r>
        <w:rPr>
          <w:bCs/>
          <w:b/>
        </w:rPr>
        <w:t xml:space="preserve">4.3 Procedure</w:t>
      </w:r>
      <w:r>
        <w:br/>
      </w:r>
      <w:r>
        <w:t xml:space="preserve">Each jar was filled with one liter of raw water sample. Coagulant dosages ranging from 10 mg/L to 80 mg/L were administered rapidly, followed by slow mixing for flocculation at 30 RPM for twenty minutes. After settling for thirty minutes, supernatant samples were withdrawn for analysis of turbidity, pH, and residual aluminum concentration.</w:t>
      </w:r>
    </w:p>
    <w:bookmarkEnd w:id="24"/>
    <w:bookmarkStart w:id="25" w:name="results-and-data-analysis"/>
    <w:p>
      <w:pPr>
        <w:pStyle w:val="Heading2"/>
      </w:pPr>
      <w:r>
        <w:t xml:space="preserve">5. Results and Data Analysis</w:t>
      </w:r>
    </w:p>
    <w:p>
      <w:pPr>
        <w:pStyle w:val="FirstParagraph"/>
      </w:pPr>
      <w:r>
        <w:t xml:space="preserve">The data collected from the jar tests revealed a significant correlation between the hybrid coagulant dosage and turbidity removal efficiency. At an optimal dosage of 40 mg/L, the turbidity levels dropped from an initial average of 15 NTU (Nephelometric Turbidity Units) to less than 0.5 NTU, which is well below the World Health Organization guidelines.</w:t>
      </w:r>
    </w:p>
    <w:p>
      <w:pPr>
        <w:pStyle w:val="BodyText"/>
      </w:pPr>
      <w:r>
        <w:t xml:space="preserve">Furthermore, the use of locally modified starch derivatives reduced sludge volume by approximately 15% compared to using Alum alone. This reduction is particularly beneficial for waste management facilities in Egypt Cairo, where sludge disposal costs are a significant operational burden. The pH levels remained stable within the acceptable range of 6.5 to 8.0, indicating that additional pH adjustment chemicals would not be required, thereby reducing operational expenditure.</w:t>
      </w:r>
    </w:p>
    <w:p>
      <w:pPr>
        <w:pStyle w:val="BodyText"/>
      </w:pPr>
      <w:r>
        <w:rPr>
          <w:bCs/>
          <w:b/>
        </w:rPr>
        <w:t xml:space="preserve">Table 1: Summary of Turbidity Removal Efficiency</w:t>
      </w:r>
    </w:p>
    <w:p>
      <w:pPr>
        <w:pStyle w:val="BodyText"/>
      </w:pPr>
      <w:r>
        <w:t xml:space="preserve">Dosage (mg/L)</w:t>
      </w:r>
    </w:p>
    <w:bookmarkEnd w:id="25"/>
    <w:p>
      <w:pPr>
        <w:pStyle w:val="BodyText"/>
      </w:pPr>
      <w:r>
        <w:t xml:space="preserve">Turbidity Inlet (NTU)</w:t>
      </w:r>
    </w:p>
    <w:p>
      <w:pPr>
        <w:pStyle w:val="BodyText"/>
      </w:pPr>
      <w:r>
        <w:t xml:space="preserve">Turbidity Outlet (NTU)</w:t>
      </w:r>
    </w:p>
    <w:p>
      <w:pPr>
        <w:pStyle w:val="BodyText"/>
      </w:pPr>
      <w:r>
        <w:t xml:space="preserve">Removal Efficiency (%)</w:t>
      </w:r>
    </w:p>
    <w:p>
      <w:pPr>
        <w:pStyle w:val="BodyText"/>
      </w:pPr>
      <w:r>
        <w:t xml:space="preserve">20</w:t>
      </w:r>
    </w:p>
    <w:p>
      <w:pPr>
        <w:pStyle w:val="BodyText"/>
      </w:pPr>
      <w:r>
        <w:t xml:space="preserve">15.2</w:t>
      </w:r>
    </w:p>
    <w:p>
      <w:pPr>
        <w:pStyle w:val="BodyText"/>
      </w:pPr>
      <w:r>
        <w:t xml:space="preserve">3.8</w:t>
      </w:r>
    </w:p>
    <w:p>
      <w:pPr>
        <w:pStyle w:val="BodyText"/>
      </w:pPr>
      <w:r>
        <w:t xml:space="preserve">75%</w:t>
      </w:r>
    </w:p>
    <w:p>
      <w:pPr>
        <w:pStyle w:val="BodyText"/>
      </w:pPr>
      <w:r>
        <w:t xml:space="preserve">`</w:t>
      </w:r>
    </w:p>
    <w:p>
      <w:pPr>
        <w:pStyle w:val="BodyText"/>
      </w:pPr>
      <w:r>
        <w:t xml:space="preserve">40</w:t>
      </w:r>
    </w:p>
    <w:p>
      <w:pPr>
        <w:pStyle w:val="BodyText"/>
      </w:pPr>
      <w:r>
        <w:t xml:space="preserve">15.2</w:t>
      </w:r>
    </w:p>
    <w:p>
      <w:pPr>
        <w:pStyle w:val="BodyText"/>
      </w:pPr>
      <w:r>
        <w:t xml:space="preserve">0. 96.%</w:t>
      </w:r>
    </w:p>
    <w:p>
      <w:pPr>
        <w:pStyle w:val="BodyText"/>
      </w:pPr>
      <w:r>
        <w:t xml:space="preserve">&lt;80</w:t>
      </w:r>
    </w:p>
    <w:p>
      <w:pPr>
        <w:pStyle w:val="BodyText"/>
      </w:pPr>
      <w:r>
        <w:t xml:space="preserve">0.4</w:t>
      </w:r>
    </w:p>
    <w:p>
      <w:pPr>
        <w:pStyle w:val="BodyText"/>
      </w:pPr>
      <w:r>
        <w:t xml:space="preserve">97%</w:t>
      </w:r>
    </w:p>
    <w:p>
      <w:pPr>
        <w:pStyle w:val="BodyText"/>
      </w:pPr>
      <w:r>
        <w:t xml:space="preserve">`</w:t>
      </w:r>
    </w:p>
    <w:bookmarkStart w:id="26" w:name="discussion"/>
    <w:p>
      <w:pPr>
        <w:pStyle w:val="Heading2"/>
      </w:pPr>
      <w:r>
        <w:t xml:space="preserve">6. Discussion</w:t>
      </w:r>
    </w:p>
    <w:p>
      <w:pPr>
        <w:pStyle w:val="FirstParagraph"/>
      </w:pPr>
      <w:r>
        <w:t xml:space="preserve">The success of this experiment underscores the vital role of the Chemical Engineer in adapting global technologies to local contexts. The implementation of hybrid coagulants offers a viable solution for municipalities in Egypt Cairo seeking to upgrade their infrastructure without prohibitive costs. The stability of the pH levels suggests that the process is robust against fluctuations in raw water quality, which is a common occurrence during seasonal changes along the Nile.</w:t>
      </w:r>
    </w:p>
    <w:p>
      <w:pPr>
        <w:pStyle w:val="BodyText"/>
      </w:pPr>
      <w:r>
        <w:t xml:space="preserve">Additionally, from an environmental perspective, this approach aligns with sustainability goals. By utilizing agricultural byproducts for polymer modification, we reduce reliance on imported chemicals and support the local economy. This synergy between industrial efficiency and community benefit is a hallmark of modern Chemical Engineering practice in developing regions like Egypt Cairo.</w:t>
      </w:r>
    </w:p>
    <w:bookmarkEnd w:id="26"/>
    <w:bookmarkStart w:id="27" w:name="conclusion"/>
    <w:p>
      <w:pPr>
        <w:pStyle w:val="Heading2"/>
      </w:pPr>
      <w:r>
        <w:t xml:space="preserve">7. Conclusion</w:t>
      </w:r>
    </w:p>
    <w:p>
      <w:pPr>
        <w:pStyle w:val="FirstParagraph"/>
      </w:pPr>
      <w:r>
        <w:t xml:space="preserve">This laboratory report confirms that the proposed hybrid coagulation method significantly enhances water treatment performance in Egypt Cairo. The Chemical Engineer's findings demonstrate that with careful optimization, it is possible to achieve high-quality effluent standards while minimizing operational costs and environmental impact. We recommend the pilot-scale implementation of this technology across selected facilities in Egypt Cairo to validate these batch results under continuous flow conditions.</w:t>
      </w:r>
    </w:p>
    <w:bookmarkEnd w:id="27"/>
    <w:bookmarkStart w:id="28" w:name="recommendations"/>
    <w:p>
      <w:pPr>
        <w:pStyle w:val="Heading2"/>
      </w:pPr>
      <w:r>
        <w:t xml:space="preserve">8. Recommendations</w:t>
      </w:r>
    </w:p>
    <w:p>
      <w:pPr>
        <w:numPr>
          <w:ilvl w:val="0"/>
          <w:numId w:val="1002"/>
        </w:numPr>
        <w:pStyle w:val="Compact"/>
      </w:pPr>
      <w:r>
        <w:rPr>
          <w:bCs/>
          <w:b/>
        </w:rPr>
        <w:t xml:space="preserve">Rapid Scale-Up:</w:t>
      </w:r>
      <w:r>
        <w:t xml:space="preserve">` Proceed immediately to pilot testing in full-scale treatment plants.`</w:t>
      </w:r>
    </w:p>
    <w:p>
      <w:pPr>
        <w:numPr>
          <w:ilvl w:val="0"/>
          <w:numId w:val="1002"/>
        </w:numPr>
        <w:pStyle w:val="Compact"/>
      </w:pPr>
      <w:r>
        <w:rPr>
          <w:bCs/>
          <w:b/>
        </w:rPr>
        <w:t xml:space="preserve">Agricultural Partnership:</w:t>
      </w:r>
      <w:r>
        <w:rPr>
          <w:bCs/>
          <w:b/>
        </w:rPr>
        <w:t xml:space="preserve"> </w:t>
      </w:r>
      <w:r>
        <w:rPr>
          <w:bCs/>
          <w:b/>
        </w:rPr>
        <w:t xml:space="preserve">`</w:t>
      </w:r>
    </w:p>
    <w:p>
      <w:pPr>
        <w:numPr>
          <w:ilvl w:val="0"/>
          <w:numId w:val="1002"/>
        </w:numPr>
        <w:pStyle w:val="Compact"/>
      </w:pPr>
      <w:r>
        <w:rPr>
          <w:bCs/>
          <w:b/>
        </w:rPr>
        <w:t xml:space="preserve">Training Program:</w:t>
      </w:r>
      <w:r>
        <w:t xml:space="preserve">` Develop a specialized training module for local technicians in Egypt Cairo to handle the new chemical handling procedures safely and efficiently.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Application of Chemical Engineering in Egypt Cairo</dc:title>
  <dc:creator/>
  <dc:language>en</dc:language>
  <cp:keywords/>
  <dcterms:created xsi:type="dcterms:W3CDTF">2026-07-29T06:11:46Z</dcterms:created>
  <dcterms:modified xsi:type="dcterms:W3CDTF">2026-07-29T06:11:46Z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