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Germany</w:t>
      </w:r>
      <w:r>
        <w:t xml:space="preserve"> </w:t>
      </w:r>
      <w:r>
        <w:t xml:space="preserve">Berlin</w:t>
      </w:r>
    </w:p>
    <w:bookmarkStart w:id="26" w:name="X863d4a59681d4aa3895cb5f029e87645f08830d"/>
    <w:p>
      <w:pPr>
        <w:pStyle w:val="Heading1"/>
      </w:pPr>
      <w:r>
        <w:t xml:space="preserve">Laboratory Report: Chemical Engineering Applications in Germany Berlin</w:t>
      </w:r>
    </w:p>
    <w:p>
      <w:pPr>
        <w:pStyle w:val="FirstParagraph"/>
      </w:pPr>
      <w:r>
        <w:t xml:space="preserve">This comprehensive laboratory report details the operational parameters, safety protocols, and process optimizations implemented by a senior chemical engineer within the industrial sector of Germany Berlin. The document serves as a critical reference for understanding how rigorous engineering standards are applied in one of Europe's most dynamic technological hubs. By examining specific case studies involving waste treatment and renewable energy conversion, this report elucidates the role of the chemical engineer in driving sustainable innovation.</w:t>
      </w:r>
    </w:p>
    <w:bookmarkStart w:id="20" w:name="X9bf0bd37cebbae1b145a6b8702d7cf019f72634"/>
    <w:p>
      <w:pPr>
        <w:pStyle w:val="Heading2"/>
      </w:pPr>
      <w:r>
        <w:t xml:space="preserve">Introduction to Chemical Engineering in Germany Berlin</w:t>
      </w:r>
    </w:p>
    <w:p>
      <w:pPr>
        <w:pStyle w:val="FirstParagraph"/>
      </w:pPr>
      <w:r>
        <w:t xml:space="preserve">The chemical engineering landscape in Germany Berlin is defined by a strict adherence to environmental regulations and a commitment to circular economy principles. Unlike traditional industrial zones, facilities located within or near the capital are subject to rigorous scrutiny regarding emissions, water usage, and energy efficiency. The chemical engineer operating in this environment must possess not only technical proficiency in thermodynamics and fluid mechanics but also a deep understanding of European Union directives and German national laws (Bundes-Immissionsschutzgesetz).</w:t>
      </w:r>
    </w:p>
    <w:p>
      <w:pPr>
        <w:pStyle w:val="BodyText"/>
      </w:pPr>
      <w:r>
        <w:t xml:space="preserve">In Berlin specifically, the focus has shifted significantly towards green chemistry. This involves the design of products and processes that minimize or eliminate the use and generation of hazardous substances. The laboratory report below outlines three key areas where these principles are applied: wastewater treatment optimization, biogas production efficiency, and carbon capture pilot projects.</w:t>
      </w:r>
    </w:p>
    <w:bookmarkEnd w:id="20"/>
    <w:bookmarkStart w:id="22" w:name="X1c9a19b224a2cd4c5493098032386e6fb378207"/>
    <w:p>
      <w:pPr>
        <w:pStyle w:val="Heading2"/>
      </w:pPr>
      <w:r>
        <w:t xml:space="preserve">Methodology: Process Optimization in Wastewater Treatment</w:t>
      </w:r>
    </w:p>
    <w:p>
      <w:pPr>
        <w:pStyle w:val="FirstParagraph"/>
      </w:pPr>
      <w:r>
        <w:t xml:space="preserve">The primary objective of the initial experimental phase was to improve the removal rates of pharmaceutical residues from municipal wastewater using advanced oxidation processes (AOPs). The chemical engineer designed a pilot-scale reactor system installed at a facility on the outskirts of Germany Berlin. The methodology involved varying pH levels, oxidant concentrations, and retention times to determine optimal conditions for degrading complex organic molecules.</w:t>
      </w:r>
    </w:p>
    <w:p>
      <w:pPr>
        <w:pStyle w:val="BodyText"/>
      </w:pPr>
      <w:r>
        <w:t xml:space="preserve">Data collection was performed continuously over a six-month period. Sensors monitored temperature, pressure, and chemical concentration in real-time. The chemical engineer utilized computational fluid dynamics (CFD) simulations to model flow patterns within the reactor, ensuring uniform mixing and maximizing contact between the oxidant and contaminants. This integration of digital simulation with physical experimentation is a hallmark of modern engineering practice in Germany Berlin.</w:t>
      </w:r>
    </w:p>
    <w:bookmarkStart w:id="21" w:name="experimental-data-summary"/>
    <w:p>
      <w:pPr>
        <w:pStyle w:val="Heading3"/>
      </w:pPr>
      <w:r>
        <w:t xml:space="preserve">Experimental Data Summary</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Metric</w:t>
            </w:r>
          </w:p>
        </w:tc>
        <w:tc>
          <w:tcPr/>
          <w:p>
            <w:pPr>
              <w:pStyle w:val="Compact"/>
              <w:jc w:val="left"/>
            </w:pPr>
            <w:r>
              <w:t xml:space="preserve">Average Value</w:t>
            </w:r>
          </w:p>
        </w:tc>
      </w:tr>
      <w:tr>
        <w:tc>
          <w:tcPr/>
          <w:p>
            <w:pPr>
              <w:pStyle w:val="Compact"/>
              <w:jc w:val="left"/>
            </w:pPr>
            <w:r>
              <w:t xml:space="preserve">COD Removal Efficiency</w:t>
            </w:r>
          </w:p>
        </w:tc>
        <w:tc>
          <w:tcPr/>
          <w:p>
            <w:pPr>
              <w:pStyle w:val="Compact"/>
              <w:jc w:val="left"/>
            </w:pPr>
            <w:r>
              <w:t xml:space="preserve">94.2%</w:t>
            </w:r>
          </w:p>
        </w:tc>
      </w:tr>
      <w:tr>
        <w:tc>
          <w:tcPr/>
          <w:p>
            <w:pPr>
              <w:pStyle w:val="Compact"/>
              <w:jc w:val="left"/>
            </w:pPr>
            <w:r>
              <w:t xml:space="preserve">Energy Consumption (kWh/m³)</w:t>
            </w:r>
          </w:p>
        </w:tc>
        <w:tc>
          <w:tcPr/>
          <w:p>
            <w:pPr>
              <w:pStyle w:val="Compact"/>
              <w:jc w:val="left"/>
            </w:pPr>
            <w:r>
              <w:t xml:space="preserve">125 kW/h</w:t>
            </w:r>
          </w:p>
        </w:tc>
      </w:tr>
      <w:tr>
        <w:tc>
          <w:tcPr/>
          <w:p>
            <w:pPr>
              <w:pStyle w:val="Compact"/>
              <w:jc w:val="left"/>
            </w:pPr>
            <w:r>
              <w:t xml:space="preserve">pH Optimum Range</w:t>
            </w:r>
          </w:p>
        </w:tc>
        <w:tc>
          <w:tcPr/>
          <w:p>
            <w:pPr>
              <w:pStyle w:val="Compact"/>
              <w:jc w:val="left"/>
            </w:pPr>
            <w:r>
              <w:t xml:space="preserve">6.5 - 7.5</w:t>
            </w:r>
          </w:p>
        </w:tc>
      </w:tr>
      <w:tr>
        <w:tc>
          <w:tcPr/>
          <w:p>
            <w:pPr>
              <w:pStyle w:val="Compact"/>
              <w:jc w:val="left"/>
            </w:pPr>
            <w:r>
              <w:t xml:space="preserve">Residual Ozone (mg/L)</w:t>
            </w:r>
          </w:p>
        </w:tc>
        <w:tc>
          <w:tcPr/>
          <w:p>
            <w:pPr>
              <w:pStyle w:val="Compact"/>
              <w:jc w:val="left"/>
            </w:pPr>
            <w:r>
              <w:t xml:space="preserve">&lt; 0.1</w:t>
            </w:r>
          </w:p>
        </w:tc>
      </w:tr>
    </w:tbl>
    <w:bookmarkEnd w:id="21"/>
    <w:bookmarkEnd w:id="22"/>
    <w:bookmarkStart w:id="23" w:name="Xf928fb12c3c646feb8f00c77a6728f71dbca51e"/>
    <w:p>
      <w:pPr>
        <w:pStyle w:val="Heading2"/>
      </w:pPr>
      <w:r>
        <w:t xml:space="preserve">Biogas Production and Renewable Energy Integration</w:t>
      </w:r>
    </w:p>
    <w:p>
      <w:pPr>
        <w:pStyle w:val="FirstParagraph"/>
      </w:pPr>
      <w:r>
        <w:t xml:space="preserve">A secondary focus of the laboratory work involved enhancing the output of biogas plants utilizing organic waste collected from urban centers in Germany Berlin. The chemical engineer implemented a novel anaerobic digestion process that incorporated pre-treatment steps to break down lignocellulosic materials more effectively. This led to increased methane yields and reduced retention times.</w:t>
      </w:r>
    </w:p>
    <w:p>
      <w:pPr>
        <w:pStyle w:val="BodyText"/>
      </w:pPr>
      <w:r>
        <w:t xml:space="preserve">The integration of renewable energy into the grid requires stable and predictable production profiles. To address this, the engineer developed a predictive maintenance algorithm based on historical data analysis. This system alerts operators to potential inefficiencies before they result in significant downtime, thereby maintaining consistent energy output. The success of this project demonstrates how chemical engineering principles can be directly applied to solve municipal energy challenges.</w:t>
      </w:r>
    </w:p>
    <w:bookmarkEnd w:id="23"/>
    <w:bookmarkStart w:id="24" w:name="X65493c324b5450e3ad8182b6eaced08ad4e2fa5"/>
    <w:p>
      <w:pPr>
        <w:pStyle w:val="Heading2"/>
      </w:pPr>
      <w:r>
        <w:t xml:space="preserve">Safety Protocols and Regulatory Compliance</w:t>
      </w:r>
    </w:p>
    <w:p>
      <w:pPr>
        <w:pStyle w:val="FirstParagraph"/>
      </w:pPr>
      <w:r>
        <w:t xml:space="preserve">Operating a laboratory or industrial facility in Germany Berlin necessitates strict compliance with safety standards. The chemical engineer is responsible for ensuring that all procedures adhere to the Gefährdungsbeurteilung (Risk Assessment) requirements mandated by German law. This includes regular inspections of pressure vessels, storage tanks for hazardous chemicals, and emergency shutdown systems.</w:t>
      </w:r>
    </w:p>
    <w:p>
      <w:pPr>
        <w:pStyle w:val="BodyText"/>
      </w:pPr>
      <w:r>
        <w:t xml:space="preserve">Furthermore, documentation plays a crucial role in compliance. Detailed logs of all experiments, maintenance activities, and incidents are maintained to provide a clear audit trail. This transparency is essential for building trust with regulatory bodies such as the Umweltbundesamt (Federal Environment Agency) and local authorities in Berlin.</w:t>
      </w:r>
    </w:p>
    <w:bookmarkEnd w:id="24"/>
    <w:bookmarkStart w:id="25" w:name="conclusion"/>
    <w:p>
      <w:pPr>
        <w:pStyle w:val="Heading2"/>
      </w:pPr>
      <w:r>
        <w:t xml:space="preserve">Conclusion</w:t>
      </w:r>
    </w:p>
    <w:p>
      <w:pPr>
        <w:pStyle w:val="FirstParagraph"/>
      </w:pPr>
      <w:r>
        <w:t xml:space="preserve">This laboratory report highlights the critical role of the chemical engineer in advancing sustainable technologies within Germany Berlin. Through innovative process optimization, rigorous safety management, and a commitment to environmental stewardship, engineers are shaping a greener future for the capital. The findings from this study provide valuable insights for other industrial sectors seeking to reduce their environmental footprint while maintaining operational efficiency.</w:t>
      </w:r>
    </w:p>
    <w:p>
      <w:pPr>
        <w:pStyle w:val="BodyText"/>
      </w:pPr>
      <w:r>
        <w:t xml:space="preserve">Future research should focus on scaling up these technologies and integrating them with smart grid systems. By continuing to push the boundaries of chemical engineering, we can address global challenges such as climate change and resource scarcity. The work conducted in this laboratory serves as a model for how scientific rigor and practical application can come together to create meaningful societal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Applications in Germany Berlin</dc:title>
  <dc:creator/>
  <dc:language>en</dc:language>
  <cp:keywords/>
  <dcterms:created xsi:type="dcterms:W3CDTF">2026-07-29T05:47:25Z</dcterms:created>
  <dcterms:modified xsi:type="dcterms:W3CDTF">2026-07-29T05:47:25Z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