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0" w:name="Xd4feccf3aae92597d9cb966560586bec7ad6940"/>
    <w:p>
      <w:pPr>
        <w:pStyle w:val="Heading1"/>
      </w:pPr>
      <w:r>
        <w:t xml:space="preserve">Laboratory Report on Chemical Engineering Practices in Germany, Frankfurt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Process Engineering Directorate</w:t>
      </w:r>
      <w:r>
        <w:br/>
      </w:r>
      <w:r>
        <w:rPr>
          <w:bCs/>
          <w:b/>
        </w:rPr>
        <w:t xml:space="preserve">From:</w:t>
      </w:r>
      <w:r>
        <w:t xml:space="preserve"> </w:t>
      </w:r>
      <w:r>
        <w:t xml:space="preserve">Lead Process Engineer, R&amp;D Division</w:t>
      </w:r>
      <w:r>
        <w:br/>
      </w:r>
      <w:r>
        <w:t xml:space="preserve">Evaluation of Sustainable Catalyst Systems for Fine Chemical Synthesis at the Frankfurt Industrial Hub</w:t>
      </w:r>
    </w:p>
    <w:bookmarkStart w:id="20" w:name="executive-summary"/>
    <w:p>
      <w:pPr>
        <w:pStyle w:val="Heading2"/>
      </w:pPr>
      <w:r>
        <w:t xml:space="preserve">1. Executive Summary</w:t>
      </w:r>
    </w:p>
    <w:p>
      <w:pPr>
        <w:pStyle w:val="FirstParagraph"/>
      </w:pPr>
      <w:r>
        <w:t xml:space="preserve">This Laboratory Report provides a comprehensive analysis of recent process optimization trials conducted within our chemical engineering facility located in Germany, Frankfurt. As the industrial heartland of Europe, Frankfurt serves as a critical nexus for chemical manufacturing, logistics, and research and development. The primary objective of this study was to evaluate the efficacy of novel heterogeneous catalysts in reducing energy consumption while maintaining high purity standards required by European Union regulations. The data presented herein indicates a 15% reduction in operational temperature requirements, suggesting significant economic and environmental benefits for our operations in Germany, Frankfurt.</w:t>
      </w:r>
    </w:p>
    <w:bookmarkEnd w:id="20"/>
    <w:bookmarkStart w:id="21" w:name="introduction"/>
    <w:p>
      <w:pPr>
        <w:pStyle w:val="Heading2"/>
      </w:pPr>
      <w:r>
        <w:t xml:space="preserve">2. Introduction</w:t>
      </w:r>
    </w:p>
    <w:p>
      <w:pPr>
        <w:pStyle w:val="FirstParagraph"/>
      </w:pPr>
      <w:r>
        <w:t xml:space="preserve">The role of the Chemical Engineer extends beyond mere reaction kinetics; it encompasses the broader integration of safety, sustainability, and regulatory compliance. In the context of Germany's rigorous industrial standards and Frankfurt’s status as a major financial and logistical hub, chemical engineering processes must be both highly efficient and environmentally responsible. This Laboratory Report documents our investigation into alternative catalytic pathways for the synthesis of intermediate pharmaceutical compounds.</w:t>
      </w:r>
    </w:p>
    <w:p>
      <w:pPr>
        <w:pStyle w:val="BodyText"/>
      </w:pPr>
      <w:r>
        <w:t xml:space="preserve">Frankfurt is unique in its concentration of high-tech industry alongside major transportation infrastructure. Consequently, any Chemical Engineer operating in this region must account for stringent local emissions controls and the high cost of energy. This report details how our laboratory experiments translate into scalable engineering solutions that align with these specific geographical and industrial constraints.</w:t>
      </w:r>
    </w:p>
    <w:bookmarkEnd w:id="21"/>
    <w:bookmarkStart w:id="24" w:name="methodology"/>
    <w:p>
      <w:pPr>
        <w:pStyle w:val="Heading2"/>
      </w:pPr>
      <w:r>
        <w:t xml:space="preserve">3. Methodology</w:t>
      </w:r>
    </w:p>
    <w:p>
      <w:pPr>
        <w:pStyle w:val="FirstParagraph"/>
      </w:pPr>
      <w:r>
        <w:t xml:space="preserve">The experimental setup was designed to mimic pilot-scale conditions typical of the chemical parks surrounding Frankfurt, such as those found in the Rhine-Main area. The Laboratory Report methodology followed strict ISO 9001 quality management standards, ensuring reproducibility and accuracy.</w:t>
      </w:r>
    </w:p>
    <w:bookmarkStart w:id="22" w:name="materials-and-equipment"/>
    <w:p>
      <w:pPr>
        <w:pStyle w:val="Heading3"/>
      </w:pPr>
      <w:r>
        <w:t xml:space="preserve">3.1 Materials and Equipment</w:t>
      </w:r>
    </w:p>
    <w:p>
      <w:pPr>
        <w:numPr>
          <w:ilvl w:val="0"/>
          <w:numId w:val="1001"/>
        </w:numPr>
        <w:pStyle w:val="Compact"/>
      </w:pPr>
      <w:r>
        <w:rPr>
          <w:bCs/>
          <w:b/>
        </w:rPr>
        <w:t xml:space="preserve">Catalysts:</w:t>
      </w:r>
      <w:r>
        <w:t xml:space="preserve"> </w:t>
      </w:r>
      <w:r>
        <w:t xml:space="preserve">Three variants of supported palladium catalysts were tested against a standard nickel-based control group.</w:t>
      </w:r>
    </w:p>
    <w:p>
      <w:pPr>
        <w:numPr>
          <w:ilvl w:val="0"/>
          <w:numId w:val="1001"/>
        </w:numPr>
        <w:pStyle w:val="Compact"/>
      </w:pPr>
      <w:r>
        <w:t xml:space="preserve">A stainless-steel continuous flow reactor with precise temperature and pressure monitoring capabilities.</w:t>
      </w:r>
    </w:p>
    <w:p>
      <w:pPr>
        <w:numPr>
          <w:ilvl w:val="0"/>
          <w:numId w:val="1001"/>
        </w:numPr>
        <w:pStyle w:val="Compact"/>
      </w:pPr>
      <w:r>
        <w:t xml:space="preserve">&lt; strong&gt;Analytical Tools: Gas Chromatography-Mass Spectrometry (GC-MS) was utilized for real-time product analysis, a standard requirement for Chemical Engineers verifying process purity in Germany.</w:t>
      </w:r>
    </w:p>
    <w:bookmarkEnd w:id="22"/>
    <w:bookmarkStart w:id="23" w:name="experimental-procedure"/>
    <w:p>
      <w:pPr>
        <w:pStyle w:val="Heading3"/>
      </w:pPr>
      <w:r>
        <w:t xml:space="preserve">3.2 Experimental Procedure</w:t>
      </w:r>
    </w:p>
    <w:p>
      <w:pPr>
        <w:pStyle w:val="FirstParagraph"/>
      </w:pPr>
      <w:r>
        <w:t xml:space="preserve">The experiments were conducted over a period of four weeks. Each catalyst variant was subjected to varying temperatures ranging from 80°C to 150°C. The flow rates of reactants were kept constant to isolate the variable effects of temperature on catalytic activity. Data acquisition was automated, allowing for continuous monitoring by the engineering team in real-time.</w:t>
      </w:r>
    </w:p>
    <w:bookmarkEnd w:id="23"/>
    <w:bookmarkEnd w:id="24"/>
    <w:bookmarkStart w:id="25" w:name="results"/>
    <w:p>
      <w:pPr>
        <w:pStyle w:val="Heading2"/>
      </w:pPr>
      <w:r>
        <w:t xml:space="preserve">4. Results</w:t>
      </w:r>
    </w:p>
    <w:p>
      <w:pPr>
        <w:pStyle w:val="FirstParagraph"/>
      </w:pPr>
      <w:r>
        <w:t xml:space="preserve">The following data summarizes the key performance indicators observed during the laboratory trials. All results are presented to ensure full transparency as required in professional Laboratory Report documentation.</w:t>
      </w:r>
    </w:p>
    <w:p>
      <w:pPr>
        <w:pStyle w:val="BodyText"/>
      </w:pPr>
      <w:r>
        <w:t xml:space="preserve">Catalyst Variant</w:t>
      </w:r>
    </w:p>
    <w:p>
      <w:pPr>
        <w:pStyle w:val="BodyText"/>
      </w:pPr>
      <w:r>
        <w:t xml:space="preserve">Average Temperature (°C)</w:t>
      </w:r>
    </w:p>
    <w:p>
      <w:pPr>
        <w:pStyle w:val="BodyText"/>
      </w:pPr>
      <w:r>
        <w:t xml:space="preserve">Yield (%)</w:t>
      </w:r>
    </w:p>
    <w:p>
      <w:pPr>
        <w:pStyle w:val="BodyText"/>
      </w:pPr>
      <w:r>
        <w:t xml:space="preserve">&lt; selectivity (%)</w:t>
      </w:r>
    </w:p>
    <w:p>
      <w:pPr>
        <w:pStyle w:val="BodyText"/>
      </w:pPr>
      <w:r>
        <w:rPr>
          <w:bCs/>
          <w:b/>
        </w:rPr>
        <w:t xml:space="preserve">Purity by GC-MS (%))</w:t>
      </w:r>
    </w:p>
    <w:p>
      <w:pPr>
        <w:pStyle w:val="BodyText"/>
      </w:pPr>
      <w:r>
        <w:t xml:space="preserve">Variant A (Standard Ni)</w:t>
      </w:r>
    </w:p>
    <w:p>
      <w:pPr>
        <w:pStyle w:val="BodyText"/>
      </w:pPr>
      <w:r>
        <w:t xml:space="preserve">85.4</w:t>
      </w:r>
    </w:p>
    <w:p>
      <w:pPr>
        <w:pStyle w:val="BodyText"/>
      </w:pPr>
      <w:r>
        <w:t xml:space="preserve">92.1</w:t>
      </w:r>
    </w:p>
    <w:p>
      <w:pPr>
        <w:pStyle w:val="BodyText"/>
      </w:pPr>
      <w:r>
        <w:t xml:space="preserve">96.5</w:t>
      </w:r>
    </w:p>
    <w:p>
      <w:pPr>
        <w:pStyle w:val="BodyText"/>
      </w:pPr>
      <w:r>
        <w:t xml:space="preserve">Variant B (Pd/Carbon Low-Temp)</w:t>
      </w:r>
    </w:p>
    <w:p>
      <w:pPr>
        <w:pStyle w:val="BodyText"/>
      </w:pPr>
      <w:r>
        <w:t xml:space="preserve">&lt; td"&gt;83.2</w:t>
      </w:r>
    </w:p>
    <w:p>
      <w:pPr>
        <w:pStyle w:val="BodyText"/>
      </w:pPr>
      <w:r>
        <w:rPr>
          <w:bCs/>
          <w:b/>
        </w:rPr>
        <w:t xml:space="preserve">Purity by GC-MS (%))</w:t>
      </w:r>
    </w:p>
    <w:p>
      <w:pPr>
        <w:pStyle w:val="BodyText"/>
      </w:pPr>
      <w:r>
        <w:t xml:space="preserve">Variant A (Standard Ni)</w:t>
      </w:r>
    </w:p>
    <w:p>
      <w:pPr>
        <w:pStyle w:val="BodyText"/>
      </w:pPr>
      <w:r>
        <w:t xml:space="preserve">120</w:t>
      </w:r>
    </w:p>
    <w:p>
      <w:pPr>
        <w:pStyle w:val="BodyText"/>
      </w:pPr>
      <w:r>
        <w:t xml:space="preserve">85.4</w:t>
      </w:r>
    </w:p>
    <w:p>
      <w:pPr>
        <w:pStyle w:val="BodyText"/>
      </w:pPr>
      <w:r>
        <w:t xml:space="preserve">92.1</w:t>
      </w:r>
    </w:p>
    <w:p>
      <w:pPr>
        <w:pStyle w:val="BodyText"/>
      </w:pPr>
      <w:r>
        <w:t xml:space="preserve">96.5</w:t>
      </w:r>
    </w:p>
    <w:p>
      <w:pPr>
        <w:pStyle w:val="BodyText"/>
      </w:pPr>
      <w:r>
        <w:t xml:space="preserve">Variant B (Pd/Carbon Low-Temp)</w:t>
      </w:r>
    </w:p>
    <w:p>
      <w:pPr>
        <w:pStyle w:val="BodyText"/>
      </w:pPr>
      <w:r>
        <w:t xml:space="preserve">d&gt;83.2</w:t>
      </w:r>
    </w:p>
    <w:p>
      <w:pPr>
        <w:pStyle w:val="BodyText"/>
      </w:pPr>
      <w:r>
        <w:rPr>
          <w:bCs/>
          <w:b/>
        </w:rPr>
        <w:t xml:space="preserve">Purity by GC-MS (%))</w:t>
      </w:r>
    </w:p>
    <w:p>
      <w:pPr>
        <w:pStyle w:val="BodyText"/>
      </w:pPr>
      <w:r>
        <w:t xml:space="preserve">Variant A (Standard Ni)</w:t>
      </w:r>
    </w:p>
    <w:p>
      <w:pPr>
        <w:pStyle w:val="BodyText"/>
      </w:pPr>
      <w:r>
        <w:t xml:space="preserve">120</w:t>
      </w:r>
    </w:p>
    <w:p>
      <w:pPr>
        <w:pStyle w:val="BodyText"/>
      </w:pPr>
      <w:r>
        <w:t xml:space="preserve">85.4</w:t>
      </w:r>
    </w:p>
    <w:p>
      <w:pPr>
        <w:pStyle w:val="BodyText"/>
      </w:pPr>
      <w:r>
        <w:t xml:space="preserve">92.1</w:t>
      </w:r>
    </w:p>
    <w:p>
      <w:pPr>
        <w:pStyle w:val="BodyText"/>
      </w:pPr>
      <w:r>
        <w:t xml:space="preserve">96.5</w:t>
      </w:r>
    </w:p>
    <w:p>
      <w:pPr>
        <w:pStyle w:val="BodyText"/>
      </w:pPr>
      <w:r>
        <w:t xml:space="preserve">Variant B (Pd/Carbon Low-Temp)</w:t>
      </w:r>
    </w:p>
    <w:p>
      <w:pPr>
        <w:pStyle w:val="BodyText"/>
      </w:pPr>
      <w:r>
        <w:t xml:space="preserve">95d&gt;83.2</w:t>
      </w:r>
    </w:p>
    <w:p>
      <w:pPr>
        <w:pStyle w:val="BodyText"/>
      </w:pPr>
      <w:r>
        <w:rPr>
          <w:bCs/>
          <w:b/>
        </w:rPr>
        <w:t xml:space="preserve">Purity by GC-MS (%))</w:t>
      </w:r>
    </w:p>
    <w:p>
      <w:pPr>
        <w:pStyle w:val="BodyText"/>
      </w:pPr>
      <w:r>
        <w:t xml:space="preserve">Variant A (Standard Ni)</w:t>
      </w:r>
    </w:p>
    <w:p>
      <w:pPr>
        <w:pStyle w:val="BodyText"/>
      </w:pPr>
      <w:r>
        <w:t xml:space="preserve">120</w:t>
      </w:r>
    </w:p>
    <w:p>
      <w:pPr>
        <w:pStyle w:val="BodyText"/>
      </w:pPr>
      <w:r>
        <w:t xml:space="preserve">85.4</w:t>
      </w:r>
    </w:p>
    <w:p>
      <w:pPr>
        <w:pStyle w:val="BodyText"/>
      </w:pPr>
      <w:r>
        <w:t xml:space="preserve">92.1</w:t>
      </w:r>
    </w:p>
    <w:p>
      <w:pPr>
        <w:pStyle w:val="BodyText"/>
      </w:pPr>
      <w:r>
        <w:t xml:space="preserve">96.5</w:t>
      </w:r>
    </w:p>
    <w:p>
      <w:pPr>
        <w:pStyle w:val="BodyText"/>
      </w:pPr>
      <w:r>
        <w:t xml:space="preserve">Variant B (Pd/Carbon Low-Temp)</w:t>
      </w:r>
    </w:p>
    <w:p>
      <w:pPr>
        <w:pStyle w:val="BodyText"/>
      </w:pPr>
      <w:r>
        <w:t xml:space="preserve">95d&gt;83.2</w:t>
      </w:r>
    </w:p>
    <w:p>
      <w:pPr>
        <w:pStyle w:val="BodyText"/>
      </w:pPr>
      <w:r>
        <w:rPr>
          <w:bCs/>
          <w:b/>
        </w:rPr>
        <w:t xml:space="preserve">Purity by GC-MS (%))</w:t>
      </w:r>
      <w:r>
        <w:rPr>
          <w:bCs/>
          <w:b/>
          <w:bCs/>
          <w:b/>
        </w:rPr>
        <w:t xml:space="preserve">Purity by GC-MS (%))</w:t>
      </w:r>
    </w:p>
    <w:p>
      <w:pPr>
        <w:pStyle w:val="BodyText"/>
      </w:pPr>
      <w:r>
        <w:t xml:space="preserve">Catalyst Variant</w:t>
      </w:r>
      <w:r>
        <w:rPr>
          <w:bCs/>
          <w:b/>
        </w:rPr>
        <w:t xml:space="preserve">Average Temperature (°C)</w:t>
      </w:r>
    </w:p>
    <w:p>
      <w:pPr>
        <w:pStyle w:val="BodyText"/>
      </w:pPr>
      <w:r>
        <w:t xml:space="preserve">Yield (%)</w:t>
      </w:r>
    </w:p>
    <w:p>
      <w:pPr>
        <w:pStyle w:val="BodyText"/>
      </w:pPr>
      <w:r>
        <w:rPr>
          <w:iCs/>
          <w:i/>
        </w:rPr>
        <w:t xml:space="preserve">Note: The table above illustrates the significant drop in required operating temperature for Variant B, which maintains comparable purity levels. This is crucial for energy conservation strategies in Germany.</w:t>
      </w:r>
    </w:p>
    <w:bookmarkEnd w:id="25"/>
    <w:bookmarkStart w:id="26" w:name="discussion"/>
    <w:p>
      <w:pPr>
        <w:pStyle w:val="Heading2"/>
      </w:pPr>
      <w:r>
        <w:t xml:space="preserve">5. Discussion</w:t>
      </w:r>
    </w:p>
    <w:p>
      <w:pPr>
        <w:pStyle w:val="FirstParagraph"/>
      </w:pPr>
      <w:r>
        <w:t xml:space="preserve">The results indicate that Variant B offers a compelling alternative to the standard nickel catalysts currently employed in our Frankfurt facility. The reduction in operating temperature by 25 degrees Celsius directly correlates to lower energy consumption. In the context of Chemical Engineering, this is not merely a laboratory curiosity but a vital operational improvement.</w:t>
      </w:r>
    </w:p>
    <w:p>
      <w:pPr>
        <w:pStyle w:val="BodyText"/>
      </w:pPr>
      <w:r>
        <w:t xml:space="preserve">Furthermore, the location of our operations in Germany, Frankfurt imposes specific regulatory burdens regarding carbon emissions and energy usage. The European Union’s Green Deal initiatives require industries to continuously improve their environmental footprint. By adopting Variant B, we align our process with these legislative expectations. The Chemical Engineer must therefore view these laboratory results not just as chemical data, but as strategic assets for compliance and cost management.</w:t>
      </w:r>
    </w:p>
    <w:p>
      <w:pPr>
        <w:pStyle w:val="BodyText"/>
      </w:pPr>
      <w:r>
        <w:t xml:space="preserve">Additionally, Frankfurt’s high labor and operational costs necessitate processes that are robust and require minimal maintenance. The stability of the palladium-based catalyst over 500 hours of testing suggests a longer lifespan than the nickel alternative, reducing downtime for catalyst replacement. This reliability is essential for maintaining production quotas in a competitive market.</w:t>
      </w:r>
    </w:p>
    <w:bookmarkEnd w:id="26"/>
    <w:bookmarkStart w:id="27" w:name="conclusion"/>
    <w:p>
      <w:pPr>
        <w:pStyle w:val="Heading2"/>
      </w:pPr>
      <w:r>
        <w:t xml:space="preserve">6. Conclusion</w:t>
      </w:r>
    </w:p>
    <w:p>
      <w:pPr>
        <w:pStyle w:val="FirstParagraph"/>
      </w:pPr>
      <w:r>
        <w:t xml:space="preserve">In conclusion, this Laboratory Report demonstrates that the implementation of Variant B catalysts can lead to significant improvements in process efficiency and environmental sustainability. For Chemical Engineers working in Germany, Frankfurt, these findings offer a viable pathway to modernize existing infrastructure while adhering to strict regulatory standards. We recommend proceeding with a pilot-scale implementation within the next quarter.</w:t>
      </w:r>
    </w:p>
    <w:bookmarkEnd w:id="27"/>
    <w:bookmarkStart w:id="28" w:name="recommendations"/>
    <w:p>
      <w:pPr>
        <w:pStyle w:val="Heading2"/>
      </w:pPr>
      <w:r>
        <w:t xml:space="preserve">7. Recommendations</w:t>
      </w:r>
    </w:p>
    <w:p>
      <w:pPr>
        <w:numPr>
          <w:ilvl w:val="0"/>
          <w:numId w:val="1002"/>
        </w:numPr>
        <w:pStyle w:val="Compact"/>
      </w:pPr>
      <w:r>
        <w:rPr>
          <w:bCs/>
          <w:b/>
        </w:rPr>
        <w:t xml:space="preserve">Pilot Scale-Up:</w:t>
      </w:r>
      <w:r>
        <w:t xml:space="preserve">M initiate a three-month pilot run of Variant B in the main production unit.</w:t>
      </w:r>
    </w:p>
    <w:p>
      <w:pPr>
        <w:numPr>
          <w:ilvl w:val="0"/>
          <w:numId w:val="1002"/>
        </w:numPr>
        <w:pStyle w:val="Compact"/>
      </w:pPr>
      <w:r>
        <w:t xml:space="preserve">Economic Analysis:: Conduct a detailed cost-benefit analysis factoring in energy savings and catalyst replacement costs.</w:t>
      </w:r>
    </w:p>
    <w:p>
      <w:pPr>
        <w:numPr>
          <w:ilvl w:val="0"/>
          <w:numId w:val="1002"/>
        </w:numPr>
        <w:pStyle w:val="Compact"/>
      </w:pPr>
      <w:r>
        <w:rPr>
          <w:bCs/>
          <w:b/>
        </w:rPr>
        <w:t xml:space="preserve">Regulatory Review:</w:t>
      </w:r>
      <w:r>
        <w:t xml:space="preserve">: Ensure all safety data sheets are updated for local German authorities, given the change in catalyst material.</w:t>
      </w:r>
    </w:p>
    <w:bookmarkEnd w:id="28"/>
    <w:bookmarkStart w:id="29" w:name="references"/>
    <w:p>
      <w:pPr>
        <w:pStyle w:val="Heading2"/>
      </w:pPr>
      <w:r>
        <w:t xml:space="preserve">8. References</w:t>
      </w:r>
    </w:p>
    <w:p>
      <w:pPr>
        <w:pStyle w:val="FirstParagraph"/>
      </w:pPr>
      <w:r>
        <w:t xml:space="preserve">Bundesinstitut für Risikobewertung (BfR). (2023).</w:t>
      </w:r>
      <w:r>
        <w:t xml:space="preserve"> </w:t>
      </w:r>
      <w:r>
        <w:rPr>
          <w:iCs/>
          <w:i/>
        </w:rPr>
        <w:t xml:space="preserve">Safety Guidelines for Industrial Chemical Processes</w:t>
      </w:r>
      <w:r>
        <w:t xml:space="preserve">. Berlin: German Federal Institute.</w:t>
      </w:r>
    </w:p>
    <w:p>
      <w:pPr>
        <w:pStyle w:val="BodyText"/>
      </w:pPr>
      <w:r>
        <w:t xml:space="preserve">DGCH. (2023).</w:t>
      </w:r>
      <w:r>
        <w:t xml:space="preserve"> </w:t>
      </w:r>
      <w:r>
        <w:rPr>
          <w:iCs/>
          <w:i/>
        </w:rPr>
        <w:t xml:space="preserve">Chemical Engineering Standards in the Rhine-Main Region.</w:t>
      </w:r>
      <w:r>
        <w:t xml:space="preserve">. Frankfurt: German Chemical Society.</w:t>
      </w:r>
    </w:p>
    <w:p>
      <w:pPr>
        <w:pStyle w:val="BodyText"/>
      </w:pPr>
      <w:r>
        <w:t xml:space="preserve">EPA. (2023).</w:t>
      </w:r>
      <w:r>
        <w:t xml:space="preserve"> </w:t>
      </w:r>
      <w:r>
        <w:rPr>
          <w:iCs/>
          <w:i/>
        </w:rPr>
        <w:t xml:space="preserve">Sustainable Process Design Principles.</w:t>
      </w:r>
      <w:r>
        <w:t xml:space="preserve">. Washington D.C.: Environmental Protection Agency.</w:t>
      </w:r>
    </w:p>
    <w:p>
      <w:pPr>
        <w:pStyle w:val="BodyText"/>
      </w:pPr>
      <w:r>
        <w:t xml:space="preserve">End of Laboratory Report</w:t>
      </w:r>
      <w:r>
        <w:br/>
      </w:r>
      <w:r>
        <w:rPr>
          <w:bCs/>
          <w:b/>
        </w:rPr>
        <w:t xml:space="preserve">Prepared by the Chemical Engineering Department, Frankfurt Site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Chemical Engineering Operations in Germany, Frankfurt</dc:title>
  <dc:creator/>
  <dc:language>en</dc:language>
  <cp:keywords/>
  <dcterms:created xsi:type="dcterms:W3CDTF">2026-07-29T02:00:14Z</dcterms:created>
  <dcterms:modified xsi:type="dcterms:W3CDTF">2026-07-29T02:00:14Z</dcterms:modified>
</cp:coreProperties>
</file>

<file path=docProps/custom.xml><?xml version="1.0" encoding="utf-8"?>
<Properties xmlns="http://schemas.openxmlformats.org/officeDocument/2006/custom-properties" xmlns:vt="http://schemas.openxmlformats.org/officeDocument/2006/docPropsVTypes"/>
</file>