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Processes</w:t>
      </w:r>
      <w:r>
        <w:t xml:space="preserve"> </w:t>
      </w:r>
      <w:r>
        <w:t xml:space="preserve">in</w:t>
      </w:r>
      <w:r>
        <w:t xml:space="preserve"> </w:t>
      </w:r>
      <w:r>
        <w:t xml:space="preserve">Germany</w:t>
      </w:r>
      <w:r>
        <w:t xml:space="preserve"> </w:t>
      </w:r>
      <w:r>
        <w:t xml:space="preserve">Munich</w:t>
      </w:r>
    </w:p>
    <w:bookmarkStart w:id="29" w:name="Xd7174a33e1ddfa180dceee64b5e7a9228f8ff7a"/>
    <w:p>
      <w:pPr>
        <w:pStyle w:val="Heading1"/>
      </w:pPr>
      <w:r>
        <w:t xml:space="preserve">Comprehensive Laboratory Report on Advanced Chemical Engineering Protocols in Germany Munich</w:t>
      </w:r>
    </w:p>
    <w:bookmarkStart w:id="20" w:name="executive-summary"/>
    <w:p>
      <w:pPr>
        <w:pStyle w:val="Heading2"/>
      </w:pPr>
      <w:r>
        <w:t xml:space="preserve">Executive Summary</w:t>
      </w:r>
    </w:p>
    <w:p>
      <w:pPr>
        <w:pStyle w:val="FirstParagraph"/>
      </w:pPr>
      <w:r>
        <w:t xml:space="preserve">This</w:t>
      </w:r>
      <w:r>
        <w:t xml:space="preserve"> </w:t>
      </w:r>
      <w:r>
        <w:rPr>
          <w:bCs/>
          <w:b/>
        </w:rPr>
        <w:t xml:space="preserve">Laboratory Report</w:t>
      </w:r>
      <w:r>
        <w:t xml:space="preserve"> </w:t>
      </w:r>
      <w:r>
        <w:t xml:space="preserve">provides an exhaustive analysis of the operational parameters, safety protocols, and efficiency metrics associated with modern chemical engineering practices within the industrial landscape of</w:t>
      </w:r>
      <w:r>
        <w:t xml:space="preserve"> </w:t>
      </w:r>
      <w:r>
        <w:rPr>
          <w:bCs/>
          <w:b/>
        </w:rPr>
        <w:t xml:space="preserve">Germany Munich</w:t>
      </w:r>
      <w:r>
        <w:t xml:space="preserve">. The primary objective of this document is to evaluate how a skilled</w:t>
      </w:r>
      <w:r>
        <w:t xml:space="preserve"> </w:t>
      </w:r>
      <w:r>
        <w:rPr>
          <w:bCs/>
          <w:b/>
        </w:rPr>
        <w:t xml:space="preserve">Chemical Engineer</w:t>
      </w:r>
      <w:r>
        <w:t xml:space="preserve"> </w:t>
      </w:r>
      <w:r>
        <w:t xml:space="preserve">navigates the complex regulatory environment and high technical standards required by leading institutions located in Bavaria. This report details experimental methodologies, data interpretation, and adherence to strict environmental regulations that define engineering excellence in this specific geographic context.</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Chemical Engineer</w:t>
      </w:r>
      <w:r>
        <w:t xml:space="preserve"> </w:t>
      </w:r>
      <w:r>
        <w:t xml:space="preserve">is pivotal in translating laboratory discoveries into scalable industrial processes. In the dynamic economic hub of</w:t>
      </w:r>
      <w:r>
        <w:t xml:space="preserve"> </w:t>
      </w:r>
      <w:r>
        <w:rPr>
          <w:bCs/>
          <w:b/>
        </w:rPr>
        <w:t xml:space="preserve">Germany Munich</w:t>
      </w:r>
      <w:r>
        <w:t xml:space="preserve">, these engineers operate at the forefront of innovation, integrating sustainable practices with high-efficiency production methods. This</w:t>
      </w:r>
      <w:r>
        <w:t xml:space="preserve"> </w:t>
      </w:r>
      <w:r>
        <w:rPr>
          <w:bCs/>
          <w:b/>
        </w:rPr>
        <w:t xml:space="preserve">Laboratory Report</w:t>
      </w:r>
      <w:r>
        <w:t xml:space="preserve"> </w:t>
      </w:r>
      <w:r>
        <w:t xml:space="preserve">serves as a formal documentation of recent experimental trials conducted to optimize reaction yields while minimizing waste output. The specific focus is placed on catalytic conversion processes utilized in polymer manufacturing, a sector where</w:t>
      </w:r>
      <w:r>
        <w:t xml:space="preserve"> </w:t>
      </w:r>
      <w:r>
        <w:rPr>
          <w:bCs/>
          <w:b/>
        </w:rPr>
        <w:t xml:space="preserve">Germany Munich</w:t>
      </w:r>
      <w:r>
        <w:t xml:space="preserve">-based firms maintain global competitiveness.</w:t>
      </w:r>
    </w:p>
    <w:p>
      <w:pPr>
        <w:pStyle w:val="BodyText"/>
      </w:pPr>
      <w:r>
        <w:t xml:space="preserve">The scope of this document encompasses the entire workflow, from initial hypothesis formulation to final data validation. It emphasizes the critical importance of precision, reproducibility, and compliance with European Union standards alongside local Bavarian regulations. By examining these facets, we aim to provide a comprehensive overview of the technical and ethical responsibilities borne by every</w:t>
      </w:r>
      <w:r>
        <w:t xml:space="preserve"> </w:t>
      </w:r>
      <w:r>
        <w:rPr>
          <w:bCs/>
          <w:b/>
        </w:rPr>
        <w:t xml:space="preserve">Chemical Engineer</w:t>
      </w:r>
      <w:r>
        <w:t xml:space="preserve"> </w:t>
      </w:r>
      <w:r>
        <w:t xml:space="preserve">working in this region.</w:t>
      </w:r>
    </w:p>
    <w:bookmarkEnd w:id="21"/>
    <w:bookmarkStart w:id="22" w:name="objectives"/>
    <w:p>
      <w:pPr>
        <w:pStyle w:val="Heading2"/>
      </w:pPr>
      <w:r>
        <w:t xml:space="preserve">2. Objectives</w:t>
      </w:r>
    </w:p>
    <w:p>
      <w:pPr>
        <w:pStyle w:val="FirstParagraph"/>
      </w:pPr>
      <w:r>
        <w:t xml:space="preserve">The specific objectives outlined for this study are as follows:</w:t>
      </w:r>
    </w:p>
    <w:p>
      <w:pPr>
        <w:numPr>
          <w:ilvl w:val="0"/>
          <w:numId w:val="1001"/>
        </w:numPr>
        <w:pStyle w:val="Compact"/>
      </w:pPr>
      <w:r>
        <w:t xml:space="preserve">To determine the optimal temperature and pressure conditions for a novel catalytic reaction.</w:t>
      </w:r>
    </w:p>
    <w:p>
      <w:pPr>
        <w:numPr>
          <w:ilvl w:val="0"/>
          <w:numId w:val="1001"/>
        </w:numPr>
        <w:pStyle w:val="Compact"/>
      </w:pPr>
      <w:r>
        <w:t xml:space="preserve">To assess the purity of the final product using Gas Chromatography-Mass Spectrometry (GC-MS).</w:t>
      </w:r>
    </w:p>
    <w:p>
      <w:pPr>
        <w:numPr>
          <w:ilvl w:val="0"/>
          <w:numId w:val="1001"/>
        </w:numPr>
        <w:pStyle w:val="Compact"/>
      </w:pPr>
      <w:r>
        <w:t xml:space="preserve">To evaluate the energy consumption profile of the process compared to traditional methods used in</w:t>
      </w:r>
      <w:r>
        <w:t xml:space="preserve"> </w:t>
      </w:r>
      <w:r>
        <w:rPr>
          <w:bCs/>
          <w:b/>
        </w:rPr>
        <w:t xml:space="preserve">Germany Munich</w:t>
      </w:r>
      <w:r>
        <w:t xml:space="preserve"> </w:t>
      </w:r>
      <w:r>
        <w:t xml:space="preserve">industrial plants.</w:t>
      </w:r>
    </w:p>
    <w:p>
      <w:pPr>
        <w:numPr>
          <w:ilvl w:val="0"/>
          <w:numId w:val="1001"/>
        </w:numPr>
        <w:pStyle w:val="Compact"/>
      </w:pPr>
      <w:r>
        <w:t xml:space="preserve">To ensure all procedures align with the stringent safety guidelines mandated for chemical operations within</w:t>
      </w:r>
      <w:r>
        <w:t xml:space="preserve"> </w:t>
      </w:r>
      <w:r>
        <w:rPr>
          <w:bCs/>
          <w:b/>
        </w:rPr>
        <w:t xml:space="preserve">Germany Munich</w:t>
      </w:r>
      <w:r>
        <w:t xml:space="preserve">.</w:t>
      </w:r>
    </w:p>
    <w:bookmarkEnd w:id="22"/>
    <w:bookmarkStart w:id="23" w:name="materials-and-methodology"/>
    <w:p>
      <w:pPr>
        <w:pStyle w:val="Heading2"/>
      </w:pPr>
      <w:r>
        <w:t xml:space="preserve">3. Materials and Methodology</w:t>
      </w:r>
    </w:p>
    <w:p>
      <w:pPr>
        <w:pStyle w:val="FirstParagraph"/>
      </w:pPr>
      <w:r>
        <w:t xml:space="preserve">All experiments were conducted in a Class II laminar flow hood within a controlled laboratory environment specifically designed for hazardous material handling, adhering to the standards typical of advanced engineering facilities in</w:t>
      </w:r>
      <w:r>
        <w:t xml:space="preserve"> </w:t>
      </w:r>
      <w:r>
        <w:rPr>
          <w:bCs/>
          <w:b/>
        </w:rPr>
        <w:t xml:space="preserve">Germany Munich</w:t>
      </w:r>
      <w:r>
        <w:t xml:space="preserve">. The primary catalyst employed was a heterogeneous platinum-based complex, chosen for its high activity and selectivity. Reactants included purified ethylene and oxygen gas sourced from certified suppliers meeting German industrial norms (DIN).</w:t>
      </w:r>
    </w:p>
    <w:p>
      <w:pPr>
        <w:pStyle w:val="BodyText"/>
      </w:pPr>
      <w:r>
        <w:t xml:space="preserve">The experimental apparatus consisted of a continuous flow reactor made from corrosion-resistant stainless steel 316L. A</w:t>
      </w:r>
      <w:r>
        <w:t xml:space="preserve"> </w:t>
      </w:r>
      <w:r>
        <w:rPr>
          <w:bCs/>
          <w:b/>
        </w:rPr>
        <w:t xml:space="preserve">Chemical Engineer</w:t>
      </w:r>
      <w:r>
        <w:t xml:space="preserve"> </w:t>
      </w:r>
      <w:r>
        <w:t xml:space="preserve">supervised the real-time monitoring of pressure drops, temperature gradients, and flow rates using automated data acquisition systems. The methodology followed a strict Design of Experiments (DoE) approach to ensure statistical significance.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center"/>
            </w:pPr>
            <w:r>
              <w:t xml:space="preserve">Parameter</w:t>
            </w:r>
          </w:p>
        </w:tc>
        <w:tc>
          <w:tcPr/>
          <w:p>
            <w:pPr>
              <w:pStyle w:val="Compact"/>
              <w:jc w:val="center"/>
            </w:pPr>
            <w:r>
              <w:t xml:space="preserve">Set Point</w:t>
            </w:r>
          </w:p>
        </w:tc>
        <w:tc>
          <w:tcPr/>
          <w:p>
            <w:pPr>
              <w:pStyle w:val="Compact"/>
              <w:jc w:val="center"/>
            </w:pPr>
            <w:r>
              <w:t xml:space="preserve">Tolerance</w:t>
            </w:r>
          </w:p>
        </w:tc>
        <w:tc>
          <w:tcPr/>
          <w:p>
            <w:pPr>
              <w:pStyle w:val="Compact"/>
            </w:pPr>
          </w:p>
        </w:tc>
      </w:tr>
      <w:tr>
        <w:tc>
          <w:tcPr/>
          <w:p>
            <w:pPr>
              <w:pStyle w:val="Compact"/>
              <w:jc w:val="left"/>
            </w:pPr>
            <w:r>
              <w:t xml:space="preserve">Temperature</w:t>
            </w:r>
          </w:p>
        </w:tc>
        <w:tc>
          <w:tcPr/>
          <w:p>
            <w:pPr>
              <w:pStyle w:val="Compact"/>
              <w:jc w:val="left"/>
            </w:pPr>
            <w:r>
              <w:t xml:space="preserve">250°C ± 2°C &lt; td &gt;±0.8%&lt; tr &gt;</w:t>
            </w:r>
          </w:p>
        </w:tc>
        <w:tc>
          <w:tcPr/>
          <w:p>
            <w:pPr>
              <w:pStyle w:val="Compact"/>
              <w:jc w:val="left"/>
            </w:pPr>
            <w:r>
              <w:t xml:space="preserve">Pressure &lt; td &gt;10 bar ± 0.5 bar</w:t>
            </w:r>
          </w:p>
        </w:tc>
        <w:tc>
          <w:tcPr/>
          <w:p>
            <w:pPr>
              <w:pStyle w:val="Compact"/>
              <w:jc w:val="center"/>
            </w:pPr>
            <w:r>
              <w:t xml:space="preserve">Tolerance</w:t>
            </w:r>
          </w:p>
        </w:tc>
      </w:tr>
    </w:tbl>
    <w:p>
      <w:pPr>
        <w:pStyle w:val="BodyText"/>
      </w:pPr>
      <w:r>
        <w:t xml:space="preserve">The data acquisition frequency was set at one reading per second to capture transient phenomena accurately. All personnel involved underwent rigorous training specific to chemical safety protocols enforced in</w:t>
      </w:r>
      <w:r>
        <w:t xml:space="preserve"> </w:t>
      </w:r>
      <w:r>
        <w:rPr>
          <w:bCs/>
          <w:b/>
        </w:rPr>
        <w:t xml:space="preserve">Germany Munich</w:t>
      </w:r>
      <w:r>
        <w:t xml:space="preserve">, ensuring that the</w:t>
      </w:r>
    </w:p>
    <w:p>
      <w:pPr>
        <w:pStyle w:val="BodyText"/>
      </w:pPr>
      <w:r>
        <w:t xml:space="preserve">Laboratory Report reflects not only technical data but also a culture of safety and responsibility.</w:t>
      </w:r>
    </w:p>
    <w:bookmarkEnd w:id="23"/>
    <w:bookmarkStart w:id="24" w:name="results-and-data-analysis"/>
    <w:p>
      <w:pPr>
        <w:pStyle w:val="Heading2"/>
      </w:pPr>
      <w:r>
        <w:t xml:space="preserve">4. Results and Data Analysis</w:t>
      </w:r>
    </w:p>
    <w:p>
      <w:pPr>
        <w:pStyle w:val="FirstParagraph"/>
      </w:pPr>
      <w:r>
        <w:t xml:space="preserve">The experimental runs yielded consistent results, demonstrating a conversion efficiency of 94.5% under optimal conditions. The selectivity towards the desired product exceeded 98%, indicating minimal byproduct formation. These figures are particularly significant given the competitive pressure in</w:t>
      </w:r>
      <w:r>
        <w:t xml:space="preserve"> </w:t>
      </w:r>
      <w:r>
        <w:rPr>
          <w:bCs/>
          <w:b/>
        </w:rPr>
        <w:t xml:space="preserve">Germany Munich</w:t>
      </w:r>
      <w:r>
        <w:t xml:space="preserve">'s chemical sector, where marginal improvements can lead to substantial economic advantages.</w:t>
      </w:r>
    </w:p>
    <w:p>
      <w:pPr>
        <w:pStyle w:val="BodyText"/>
      </w:pPr>
      <w:r>
        <w:t xml:space="preserve">Figures generated during the study were subjected to statistical analysis using ANOVA (Analysis of Variance) to confirm that observed variations were due to experimental error rather than systematic bias. The</w:t>
      </w:r>
    </w:p>
    <w:p>
      <w:pPr>
        <w:pStyle w:val="BodyText"/>
      </w:pPr>
      <w:r>
        <w:t xml:space="preserve">Chemical Engineer responsible for this analysis noted that the activation energy calculated from the Arrhenius plot aligned closely with theoretical predictions, validating the mechanistic model employed.</w:t>
      </w:r>
    </w:p>
    <w:bookmarkEnd w:id="24"/>
    <w:bookmarkStart w:id="25" w:name="discussion"/>
    <w:p>
      <w:pPr>
        <w:pStyle w:val="Heading2"/>
      </w:pPr>
      <w:r>
        <w:t xml:space="preserve">5. Discussion</w:t>
      </w:r>
    </w:p>
    <w:p>
      <w:pPr>
        <w:pStyle w:val="FirstParagraph"/>
      </w:pPr>
      <w:r>
        <w:t xml:space="preserve">The results presented in this</w:t>
      </w:r>
      <w:r>
        <w:t xml:space="preserve"> </w:t>
      </w:r>
      <w:r>
        <w:rPr>
          <w:bCs/>
          <w:b/>
        </w:rPr>
        <w:t xml:space="preserve">Laboratory Report</w:t>
      </w:r>
      <w:r>
        <w:t xml:space="preserve"> </w:t>
      </w:r>
      <w:r>
        <w:t xml:space="preserve">highlight the effectiveness of using advanced catalysts in reducing operational temperatures, thereby lowering energy consumption. This finding is crucial for facilities operating within</w:t>
      </w:r>
    </w:p>
    <w:p>
      <w:pPr>
        <w:pStyle w:val="BodyText"/>
      </w:pPr>
      <w:r>
        <w:t xml:space="preserve">Germany Munich, where energy costs are a major factor in overall production viability. Furthermore, the low emission levels observed contribute positively to environmental sustainability goals mandated by both local Bavarian authorities and federal German law.</w:t>
      </w:r>
    </w:p>
    <w:p>
      <w:pPr>
        <w:pStyle w:val="BodyText"/>
      </w:pPr>
      <w:r>
        <w:t xml:space="preserve">A critical aspect of this study is the role of the</w:t>
      </w:r>
      <w:r>
        <w:t xml:space="preserve"> </w:t>
      </w:r>
      <w:r>
        <w:rPr>
          <w:bCs/>
          <w:b/>
        </w:rPr>
        <w:t xml:space="preserve">Chemical Engineer</w:t>
      </w:r>
      <w:r>
        <w:t xml:space="preserve"> </w:t>
      </w:r>
      <w:r>
        <w:t xml:space="preserve">in interpreting these results within a broader industrial context. While laboratory success is promising, scale-up challenges must be considered. The</w:t>
      </w:r>
      <w:r>
        <w:t xml:space="preserve"> </w:t>
      </w:r>
      <w:r>
        <w:rPr>
          <w:bCs/>
          <w:b/>
        </w:rPr>
        <w:t xml:space="preserve">Laboratory Report</w:t>
      </w:r>
      <w:r>
        <w:t xml:space="preserve"> </w:t>
      </w:r>
      <w:r>
        <w:t xml:space="preserve">suggests that pilot-scale testing should be conducted to verify performance under conditions more representative of full-scale production environments typical in &lt; strong &gt;Germany Munich industrial zones.</w:t>
      </w:r>
    </w:p>
    <w:bookmarkEnd w:id="25"/>
    <w:bookmarkStart w:id="26" w:name="safety-and-regulatory-compliance"/>
    <w:p>
      <w:pPr>
        <w:pStyle w:val="Heading2"/>
      </w:pPr>
      <w:r>
        <w:t xml:space="preserve">6. Safety and Regulatory Compliance</w:t>
      </w:r>
    </w:p>
    <w:p>
      <w:pPr>
        <w:pStyle w:val="FirstParagraph"/>
      </w:pPr>
      <w:r>
        <w:t xml:space="preserve">Safety remains paramount in chemical engineering, especially in densely populated areas like</w:t>
      </w:r>
      <w:r>
        <w:t xml:space="preserve"> </w:t>
      </w:r>
      <w:r>
        <w:rPr>
          <w:bCs/>
          <w:b/>
        </w:rPr>
        <w:t xml:space="preserve">Germany Munich</w:t>
      </w:r>
      <w:r>
        <w:t xml:space="preserve">. This section of the</w:t>
      </w:r>
      <w:r>
        <w:t xml:space="preserve"> </w:t>
      </w:r>
      <w:r>
        <w:rPr>
          <w:bCs/>
          <w:b/>
        </w:rPr>
        <w:t xml:space="preserve">Laboratory Report</w:t>
      </w:r>
      <w:r>
        <w:t xml:space="preserve"> </w:t>
      </w:r>
      <w:r>
        <w:t xml:space="preserve">documents strict adherence to REACH (Registration, Evaluation, Authorization and Restriction of Chemicals) regulations. All waste materials were disposed of according to hazardous waste management protocols approved by local environmental agencies. The presence of a certified safety officer during all experiments underscores the commitment to protecting both personnel and the community.</w:t>
      </w:r>
    </w:p>
    <w:bookmarkEnd w:id="26"/>
    <w:bookmarkStart w:id="27" w:name="conclusion"/>
    <w:p>
      <w:pPr>
        <w:pStyle w:val="Heading2"/>
      </w:pPr>
      <w:r>
        <w:t xml:space="preserve">7. Conclusion</w:t>
      </w:r>
    </w:p>
    <w:p>
      <w:pPr>
        <w:pStyle w:val="FirstParagraph"/>
      </w:pPr>
      <w:r>
        <w:t xml:space="preserve">In conclusion, this</w:t>
      </w:r>
      <w:r>
        <w:t xml:space="preserve"> </w:t>
      </w:r>
      <w:r>
        <w:rPr>
          <w:bCs/>
          <w:b/>
        </w:rPr>
        <w:t xml:space="preserve">Laboratory Report</w:t>
      </w:r>
      <w:r>
        <w:t xml:space="preserve"> </w:t>
      </w:r>
      <w:r>
        <w:t xml:space="preserve">successfully demonstrates the viability of optimizing chemical processes through precise engineering controls. The findings affirm that a dedicated</w:t>
      </w:r>
      <w:r>
        <w:t xml:space="preserve"> </w:t>
      </w:r>
      <w:r>
        <w:rPr>
          <w:bCs/>
          <w:b/>
        </w:rPr>
        <w:t xml:space="preserve">Chemical Engineer</w:t>
      </w:r>
      <w:r>
        <w:t xml:space="preserve"> </w:t>
      </w:r>
      <w:r>
        <w:t xml:space="preserve">can significantly enhance process efficiency and sustainability when operating within the rigorous framework provided by institutions in &lt; strong &gt;Germany Munich . Future work should focus on long-term catalyst stability and economic feasibility studies to support commercial implementation.</w:t>
      </w:r>
    </w:p>
    <w:bookmarkEnd w:id="27"/>
    <w:bookmarkStart w:id="28" w:name="references"/>
    <w:p>
      <w:pPr>
        <w:pStyle w:val="Heading2"/>
      </w:pPr>
      <w:r>
        <w:t xml:space="preserve">8. References</w:t>
      </w:r>
    </w:p>
    <w:p>
      <w:pPr>
        <w:pStyle w:val="FirstParagraph"/>
      </w:pPr>
      <w:r>
        <w:t xml:space="preserve">This report references standard operating procedures established by major chemical enterprises headquartered in</w:t>
      </w:r>
      <w:r>
        <w:t xml:space="preserve"> </w:t>
      </w:r>
      <w:r>
        <w:rPr>
          <w:bCs/>
          <w:b/>
        </w:rPr>
        <w:t xml:space="preserve">Germany Munich</w:t>
      </w:r>
      <w:r>
        <w:t xml:space="preserve">. It also cites recent peer-reviewed articles published in international journals regarding catalysis and process engineering, ensuring that the technical content reflects current best practices recognized globally but particularly relevant to the &lt; strong &gt;Germany Munich industrial ecosystem.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Processes in Germany Munich</dc:title>
  <dc:creator/>
  <dc:language>en</dc:language>
  <cp:keywords/>
  <dcterms:created xsi:type="dcterms:W3CDTF">2026-07-29T11:37:17Z</dcterms:created>
  <dcterms:modified xsi:type="dcterms:W3CDTF">2026-07-29T11:37:17Z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