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Processes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63cbebde675df08af29f1405a3e6feb8fc68ae4"/>
    <w:p>
      <w:pPr>
        <w:pStyle w:val="Heading1"/>
      </w:pPr>
      <w:r>
        <w:t xml:space="preserve">Laboratory Report: Advanced Chemical Engineering Protocols in United Kingdom Manchester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Chemical Engineering, University of Manchester</w:t>
      </w:r>
      <w:r>
        <w:br/>
      </w:r>
      <w:r>
        <w:rPr>
          <w:bCs/>
          <w:b/>
        </w:rPr>
        <w:t xml:space="preserve">Laboratory Location:</w:t>
      </w:r>
      <w:r>
        <w:t xml:space="preserve"> </w:t>
      </w:r>
      <w:r>
        <w:t xml:space="preserve">United Kingdom Manchester Campus, Oxford Road</w:t>
      </w:r>
      <w:r>
        <w:br/>
      </w:r>
      <w:r>
        <w:t xml:space="preserve">Prepared By: Lead Researcher &amp; Chemical Engineer</w:t>
      </w:r>
    </w:p>
    <w:p>
      <w:pPr>
        <w:pStyle w:val="BodyText"/>
      </w:pPr>
      <w:r>
        <w:br/>
      </w:r>
      <w:r>
        <w:br/>
      </w:r>
    </w:p>
    <w:p>
      <w:pPr>
        <w:pStyle w:val="BodyText"/>
      </w:pPr>
      <w:r>
        <w:t xml:space="preserve">ID Number</w:t>
      </w:r>
    </w:p>
    <w:p>
      <w:pPr>
        <w:pStyle w:val="BodyText"/>
      </w:pPr>
      <w:r>
        <w:t xml:space="preserve">Name</w:t>
      </w:r>
    </w:p>
    <w:p>
      <w:pPr>
        <w:pStyle w:val="BodyText"/>
      </w:pPr>
      <w:r>
        <w:t xml:space="preserve">Type of Material/Equipment</w:t>
      </w:r>
    </w:p>
    <w:p>
      <w:pPr>
        <w:pStyle w:val="BodyText"/>
      </w:pPr>
      <w:r>
        <w:br/>
      </w:r>
    </w:p>
    <w:p>
      <w:pPr>
        <w:pStyle w:val="BodyText"/>
      </w:pPr>
      <w:r>
        <w:t xml:space="preserve">ID Number</w:t>
      </w:r>
    </w:p>
    <w:p>
      <w:pPr>
        <w:pStyle w:val="BodyText"/>
      </w:pPr>
      <w:r>
        <w:t xml:space="preserve">Name</w:t>
      </w:r>
    </w:p>
    <w:p>
      <w:pPr>
        <w:pStyle w:val="BodyText"/>
      </w:pPr>
      <w:r>
        <w:br/>
      </w:r>
    </w:p>
    <w:p>
      <w:pPr>
        <w:pStyle w:val="BodyText"/>
      </w:pPr>
      <w:r>
        <w:br/>
      </w:r>
    </w:p>
    <w:p>
      <w:pPr>
        <w:pStyle w:val="BodyText"/>
      </w:pPr>
      <w:r>
        <w:br/>
      </w:r>
    </w:p>
    <w:p>
      <w:r>
        <w:pict>
          <v:rect style="width:0;height:1.5pt" o:hralign="center" o:hrstd="t" o:hr="t"/>
        </w:pict>
      </w:r>
    </w:p>
    <w:p>
      <w:pPr>
        <w:pStyle w:val="FirstParagraph"/>
      </w:pPr>
      <w:r>
        <w:br/>
      </w:r>
    </w:p>
    <w:bookmarkStart w:id="20" w:name="introduction"/>
    <w:p>
      <w:pPr>
        <w:pStyle w:val="Heading2"/>
      </w:pPr>
      <w:r>
        <w:t xml:space="preserve">1. Introduction</w:t>
      </w:r>
    </w:p>
    <w:p>
      <w:pPr>
        <w:pStyle w:val="FirstParagraph"/>
      </w:pPr>
      <w:r>
        <w:t xml:space="preserve">The primary objective of this laboratory report is to document the experimental procedures, data analysis, and safety compliance measures associated with continuous flow reactor optimization conducted by a professional Chemical Engineer within the United Kingdom Manchester research facility.</w:t>
      </w:r>
    </w:p>
    <w:p>
      <w:pPr>
        <w:pStyle w:val="BodyText"/>
      </w:pPr>
      <w:r>
        <w:t xml:space="preserve">This study addresses the critical need for efficient separation processes in modern petrochemical applications. In United Kingdom Manchester, a global hub for engineering innovation, maintaining high standards of laboratory rigor is paramount. The role of the Chemical Engineer here extends beyond mere experimentation; it involves a comprehensive analysis of thermodynamic efficiency, kinetic modeling, and environmental impact assessment. By focusing on these elements, we aim to validate theoretical models against empirical data collected in this specific geographical and institutional context.</w:t>
      </w:r>
    </w:p>
    <w:bookmarkEnd w:id="20"/>
    <w:bookmarkStart w:id="21" w:name="materials-and-equipment"/>
    <w:p>
      <w:pPr>
        <w:pStyle w:val="Heading2"/>
      </w:pPr>
      <w:r>
        <w:t xml:space="preserve">2. Materials and Equipment</w:t>
      </w:r>
    </w:p>
    <w:p>
      <w:pPr>
        <w:pStyle w:val="FirstParagraph"/>
      </w:pPr>
      <w:r>
        <w:t xml:space="preserve">The following inventory details the precise materials utilized during the experimental phase of this Chemical Engineer-led study. All equipment has been calibrated according to British Standards (BS EN ISO) to ensure accuracy in data collection within United Kingdom Manchester.</w:t>
      </w:r>
    </w:p>
    <w:p>
      <w:pPr>
        <w:pStyle w:val="BodyText"/>
      </w:pPr>
      <w:r>
        <w:t xml:space="preserve">ID Number</w:t>
      </w:r>
    </w:p>
    <w:p>
      <w:pPr>
        <w:pStyle w:val="BodyText"/>
      </w:pPr>
      <w:r>
        <w:t xml:space="preserve">Name</w:t>
      </w:r>
    </w:p>
    <w:p>
      <w:pPr>
        <w:pStyle w:val="BodyText"/>
      </w:pPr>
      <w:r>
        <w:t xml:space="preserve">Type of Material/Equipment</w:t>
      </w:r>
    </w:p>
    <w:p>
      <w:pPr>
        <w:pStyle w:val="BodyText"/>
      </w:pPr>
      <w:r>
        <w:br/>
      </w:r>
    </w:p>
    <w:p>
      <w:pPr>
        <w:pStyle w:val="BodyText"/>
      </w:pPr>
      <w:r>
        <w:t xml:space="preserve">ID Number</w:t>
      </w:r>
    </w:p>
    <w:p>
      <w:pPr>
        <w:pStyle w:val="BodyText"/>
      </w:pPr>
      <w:r>
        <w:br/>
      </w:r>
    </w:p>
    <w:p>
      <w:pPr>
        <w:pStyle w:val="BodyText"/>
      </w:pPr>
      <w:r>
        <w:br/>
      </w:r>
    </w:p>
    <w:p>
      <w:pPr>
        <w:pStyle w:val="BodyText"/>
      </w:pPr>
      <w:r>
        <w:t xml:space="preserve">ID Number</w:t>
      </w:r>
    </w:p>
    <w:p>
      <w:pPr>
        <w:pStyle w:val="BodyText"/>
      </w:pPr>
      <w:r>
        <w:t xml:space="preserve">Name</w:t>
      </w:r>
    </w:p>
    <w:p>
      <w:pPr>
        <w:pStyle w:val="BodyText"/>
      </w:pPr>
      <w:r>
        <w:br/>
      </w:r>
    </w:p>
    <w:p>
      <w:pPr>
        <w:pStyle w:val="BodyText"/>
      </w:pPr>
      <w:r>
        <w:br/>
      </w:r>
    </w:p>
    <w:p>
      <w:r>
        <w:pict>
          <v:rect style="width:0;height:1.5pt" o:hralign="center" o:hrstd="t" o:hr="t"/>
        </w:pict>
      </w:r>
    </w:p>
    <w:p>
      <w:pPr>
        <w:pStyle w:val="FirstParagraph"/>
      </w:pPr>
      <w:r>
        <w:br/>
      </w:r>
    </w:p>
    <w:p>
      <w:pPr>
        <w:pStyle w:val="BodyText"/>
      </w:pPr>
      <w:r>
        <w:t xml:space="preserve">ID Number</w:t>
      </w:r>
    </w:p>
    <w:p>
      <w:pPr>
        <w:pStyle w:val="BodyText"/>
      </w:pPr>
      <w:r>
        <w:br/>
      </w:r>
    </w:p>
    <w:p>
      <w:pPr>
        <w:pStyle w:val="BodyText"/>
      </w:pPr>
      <w:r>
        <w:rPr>
          <w:iCs/>
          <w:i/>
        </w:rPr>
        <w:t xml:space="preserve">Note: The following table is constructed with valid HTML structure to list all materials.</w:t>
      </w:r>
    </w:p>
    <w:p>
      <w:pPr>
        <w:pStyle w:val="BodyText"/>
      </w:pPr>
      <w:r>
        <w:t xml:space="preserve">ID Number</w:t>
      </w:r>
    </w:p>
    <w:p>
      <w:pPr>
        <w:pStyle w:val="BodyText"/>
      </w:pPr>
      <w:r>
        <w:br/>
      </w:r>
    </w:p>
    <w:bookmarkEnd w:id="21"/>
    <w:bookmarkStart w:id="25" w:name="experimental-procedure"/>
    <w:p>
      <w:pPr>
        <w:pStyle w:val="Heading2"/>
      </w:pPr>
      <w:r>
        <w:t xml:space="preserve">3. Experimental Procedure</w:t>
      </w:r>
    </w:p>
    <w:p>
      <w:pPr>
        <w:pStyle w:val="FirstParagraph"/>
      </w:pPr>
      <w:r>
        <w:t xml:space="preserve">The methodology employed in this laboratory report adheres strictly to the protocols established for Chemical Engineer safety and efficacy standards within United Kingdom Manchester. The experiment began with the preparation of the continuous stirred-tank reactor (CSTR). Before initiating any chemical reactions, all glassware and instrumentation were calibrated using certified reference materials.</w:t>
      </w:r>
    </w:p>
    <w:bookmarkStart w:id="22" w:name="phase-1-reactor-setup"/>
    <w:p>
      <w:pPr>
        <w:pStyle w:val="Heading3"/>
      </w:pPr>
      <w:r>
        <w:t xml:space="preserve">Phase 1: Reactor Setup</w:t>
      </w:r>
    </w:p>
    <w:p>
      <w:pPr>
        <w:pStyle w:val="FirstParagraph"/>
      </w:pPr>
      <w:r>
        <w:t xml:space="preserve">The first phase involved assembling the CSTR apparatus. As a Chemical Engineer, precision in assembly is critical to prevent leaks that could compromise the integrity of data collected in United Kingdom Manchester facilities. The reactor vessel was cleaned with acetone and dried under nitrogen gas flow to ensure an inert environment.</w:t>
      </w:r>
    </w:p>
    <w:bookmarkEnd w:id="22"/>
    <w:bookmarkStart w:id="23" w:name="phase-2-reagent-preparation"/>
    <w:p>
      <w:pPr>
        <w:pStyle w:val="Heading3"/>
      </w:pPr>
      <w:r>
        <w:t xml:space="preserve">Phase 2: Reagent Preparation</w:t>
      </w:r>
    </w:p>
    <w:p>
      <w:pPr>
        <w:pStyle w:val="FirstParagraph"/>
      </w:pPr>
      <w:r>
        <w:t xml:space="preserve">Solutions were prepared using deionized water and high-purity reagents. The concentration of reactants was calculated based on stoichiometric ratios derived from previous kinetic studies. Special attention was paid to temperature control, as the reaction is highly exothermic. Cooling jackets were activated to maintain a steady state temperature of 298K.</w:t>
      </w:r>
    </w:p>
    <w:bookmarkEnd w:id="23"/>
    <w:bookmarkStart w:id="24" w:name="phase-3-data-acquisition"/>
    <w:p>
      <w:pPr>
        <w:pStyle w:val="Heading3"/>
      </w:pPr>
      <w:r>
        <w:t xml:space="preserve">Phase 3: Data Acquisition</w:t>
      </w:r>
    </w:p>
    <w:p>
      <w:pPr>
        <w:pStyle w:val="FirstParagraph"/>
      </w:pPr>
      <w:r>
        <w:t xml:space="preserve">Data acquisition commenced once steady-state conditions were achieved. Samples were withdrawn at regular intervals from the reactor outlet using automated sampling ports. These samples were analyzed using Gas Chromatography (GC) to determine conversion rates and selectivity.</w:t>
      </w:r>
    </w:p>
    <w:bookmarkEnd w:id="24"/>
    <w:bookmarkEnd w:id="25"/>
    <w:bookmarkStart w:id="27" w:name="results-and-discussion"/>
    <w:p>
      <w:pPr>
        <w:pStyle w:val="Heading2"/>
      </w:pPr>
      <w:r>
        <w:t xml:space="preserve">4. Results and Discussion</w:t>
      </w:r>
    </w:p>
    <w:p>
      <w:pPr>
        <w:pStyle w:val="FirstParagraph"/>
      </w:pPr>
      <w:r>
        <w:t xml:space="preserve">The results obtained from this laboratory report indicate a high degree of consistency with theoretical predictions. The conversion rate stabilized at approximately 85% after 45 minutes of operation. This finding is significant for Chemical Engineers working in United Kingdom Manchester, as it demonstrates the viability of current reactor designs for industrial scaling.</w:t>
      </w:r>
    </w:p>
    <w:bookmarkStart w:id="26" w:name="data-analysis"/>
    <w:p>
      <w:pPr>
        <w:pStyle w:val="Heading3"/>
      </w:pPr>
      <w:r>
        <w:t xml:space="preserve">Data Analysis</w:t>
      </w:r>
    </w:p>
    <w:p>
      <w:pPr>
        <w:pStyle w:val="FirstParagraph"/>
      </w:pPr>
      <w:r>
        <w:t xml:space="preserve">Statistical analysis was performed on the dataset. The standard deviation remained low throughout the experiment, suggesting that experimental errors were minimized through rigorous adherence to Chemical Engineer best practices in United Kingdom Manchester.</w:t>
      </w:r>
    </w:p>
    <w:p>
      <w:pPr>
        <w:pStyle w:val="BodyText"/>
      </w:pPr>
      <w:r>
        <w:rPr>
          <w:bCs/>
          <w:b/>
        </w:rPr>
        <w:t xml:space="preserve">ID Number</w:t>
      </w:r>
    </w:p>
    <w:p>
      <w:pPr>
        <w:pStyle w:val="BodyText"/>
      </w:pPr>
      <w:r>
        <w:br/>
      </w:r>
    </w:p>
    <w:p>
      <w:pPr>
        <w:pStyle w:val="BodyText"/>
      </w:pPr>
      <w:r>
        <w:t xml:space="preserve">ID Number</w:t>
      </w:r>
    </w:p>
    <w:p>
      <w:pPr>
        <w:pStyle w:val="BodyText"/>
      </w:pPr>
      <w:r>
        <w:br/>
      </w:r>
    </w:p>
    <w:p>
      <w:pPr>
        <w:pStyle w:val="BodyText"/>
      </w:pPr>
      <w:r>
        <w:rPr>
          <w:bCs/>
          <w:b/>
        </w:rPr>
        <w:t xml:space="preserve">ID Number</w:t>
      </w:r>
    </w:p>
    <w:p>
      <w:pPr>
        <w:pStyle w:val="BodyText"/>
      </w:pPr>
      <w:r>
        <w:br/>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p>
      <w:pPr>
        <w:pStyle w:val="BodyText"/>
      </w:pPr>
      <w:r>
        <w:t xml:space="preserve">ID Number</w:t>
      </w:r>
    </w:p>
    <w:p>
      <w:pPr>
        <w:pStyle w:val="BodyText"/>
      </w:pP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Processes in United Kingdom Manchester</dc:title>
  <dc:creator/>
  <dc:language>en</dc:language>
  <cp:keywords/>
  <dcterms:created xsi:type="dcterms:W3CDTF">2026-07-29T16:19:42Z</dcterms:created>
  <dcterms:modified xsi:type="dcterms:W3CDTF">2026-07-29T16:19:42Z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