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laboratory-report"/>
    <w:p>
      <w:pPr>
        <w:pStyle w:val="Heading1"/>
      </w:pPr>
      <w:r>
        <w:t xml:space="preserve">Laboratory Report</w:t>
      </w:r>
    </w:p>
    <w:p>
      <w:pPr>
        <w:pStyle w:val="FirstParagraph"/>
      </w:pPr>
      <w:r>
        <w:rPr>
          <w:bCs/>
          <w:b/>
        </w:rPr>
        <w:t xml:space="preserve">Title:</w:t>
      </w:r>
      <w:r>
        <w:br/>
      </w:r>
      <w:r>
        <w:t xml:space="preserve">Optimization of Catalytic Cracking Processes in Petrochemical Facilities</w:t>
      </w:r>
      <w:r>
        <w:br/>
      </w:r>
      <w:r>
        <w:br/>
      </w:r>
      <w:r>
        <w:rPr>
          <w:bCs/>
          <w:b/>
        </w:rPr>
        <w:t xml:space="preserve">Date:</w:t>
      </w:r>
      <w:r>
        <w:br/>
      </w:r>
      <w:r>
        <w:t xml:space="preserve">October 26, 2023</w:t>
      </w:r>
      <w:r>
        <w:br/>
      </w:r>
      <w:r>
        <w:br/>
      </w:r>
      <w:r>
        <w:rPr>
          <w:bCs/>
          <w:b/>
        </w:rPr>
        <w:t xml:space="preserve">Location of Study:</w:t>
      </w:r>
      <w:r>
        <w:br/>
      </w:r>
      <w:r>
        <w:t xml:space="preserve">United States Los Angeles Research and Development Division</w:t>
      </w:r>
      <w:r>
        <w:br/>
      </w:r>
      <w:r>
        <w:br/>
      </w:r>
      <w:r>
        <w:rPr>
          <w:bCs/>
          <w:b/>
        </w:rPr>
        <w:t xml:space="preserve">Prepared By:</w:t>
      </w:r>
      <w:r>
        <w:br/>
      </w:r>
      <w:r>
        <w:t xml:space="preserve">Senior Chemical Engineer, Process Optimization Unit</w:t>
      </w:r>
      <w:r>
        <w:br/>
      </w:r>
      <w:r>
        <w:br/>
      </w:r>
      <w:r>
        <w:rPr>
          <w:bCs/>
          <w:b/>
        </w:rPr>
        <w:t xml:space="preserve">Subject Code:</w:t>
      </w:r>
      <w:r>
        <w:br/>
      </w:r>
      <w:r>
        <w:t xml:space="preserve">CHEM-ENG-LA-2023-OCT</w:t>
      </w:r>
    </w:p>
    <w:bookmarkStart w:id="20" w:name="i.-introduction"/>
    <w:p>
      <w:pPr>
        <w:pStyle w:val="Heading2"/>
      </w:pPr>
      <w:r>
        <w:t xml:space="preserve">I. Introduction</w:t>
      </w:r>
    </w:p>
    <w:p>
      <w:pPr>
        <w:pStyle w:val="FirstParagraph"/>
      </w:pPr>
      <w:r>
        <w:t xml:space="preserve">This laboratory report details the comprehensive analysis and optimization strategies employed by a Chemical Engineer operating within the industrial framework of United States Los Angeles. The primary objective of this study is to evaluate the efficiency of Fluid Catalytic Cracking (FCC) units, which are critical components in petrochemical processing plants located throughout Southern California. As a major hub for energy production and manufacturing, United States Los Angeles serves as a vital node in the national supply chain, requiring rigorous adherence to both operational excellence and environmental compliance standards.</w:t>
      </w:r>
    </w:p>
    <w:p>
      <w:pPr>
        <w:pStyle w:val="BodyText"/>
      </w:pPr>
      <w:r>
        <w:t xml:space="preserve">The Chemical Engineer plays a pivotal role in bridging theoretical chemical principles with practical industrial applications. In the context of United States Los Angeles, where air quality regulations enforced by the California Air Resources Board (CARB) are among the strictest in the nation, the implementation of efficient catalytic processes is not merely an economic imperative but a regulatory necessity. This report outlines our experimental methodology, data collection protocols derived from pilot-scale simulations, and subsequent recommendations for enhancing reaction kinetics while minimizing hazardous byproducts.</w:t>
      </w:r>
    </w:p>
    <w:bookmarkEnd w:id="20"/>
    <w:bookmarkStart w:id="21" w:name="ii.-experimental-methodology"/>
    <w:p>
      <w:pPr>
        <w:pStyle w:val="Heading2"/>
      </w:pPr>
      <w:r>
        <w:t xml:space="preserve">II. Experimental Methodology</w:t>
      </w:r>
    </w:p>
    <w:p>
      <w:pPr>
        <w:pStyle w:val="FirstParagraph"/>
      </w:pPr>
      <w:r>
        <w:t xml:space="preserve">The investigation was conducted using a continuous flow reactor system designed to mimic industrial conditions found in large-scale refineries servicing the United States Los Angeles metropolitan area and its surrounding ports. The primary feedstock consisted of vacuum gas oil, a heavy fraction derived from crude oil distillation. This feedstock was selected due to its prevalence in regional refining operations.</w:t>
      </w:r>
    </w:p>
    <w:p>
      <w:pPr>
        <w:pStyle w:val="BodyText"/>
      </w:pPr>
      <w:r>
        <w:t xml:space="preserve">To ensure the accuracy of our results, we employed advanced chromatography techniques for real-time monitoring of reactant conversion rates and product distribution. The reaction temperature was maintained between 500°C and 525°C, a range identified as optimal for maximizing gasoline yield while suppressing coke formation. Pressure levels were kept constant at approximately 2 bar to simulate the operating conditions of standard riser reactors.</w:t>
      </w:r>
    </w:p>
    <w:p>
      <w:pPr>
        <w:pStyle w:val="BodyText"/>
      </w:pPr>
      <w:r>
        <w:t xml:space="preserve">A key aspect of this laboratory report is the focus on catalyst deactivation. Zeolite-based catalysts were subjected to simulated regeneration cycles to assess their thermal stability and activity retention over time. The Chemical Engineer’s role extended beyond mere data collection; it involved dynamic process control adjustments based on real-time feedback loops, ensuring that deviations from target parameters were corrected instantaneously.</w:t>
      </w:r>
    </w:p>
    <w:bookmarkEnd w:id="21"/>
    <w:bookmarkStart w:id="22" w:name="iii.-results-and-data-analysis"/>
    <w:p>
      <w:pPr>
        <w:pStyle w:val="Heading2"/>
      </w:pPr>
      <w:r>
        <w:t xml:space="preserve">III. Results and Data Analysis</w:t>
      </w:r>
    </w:p>
    <w:p>
      <w:pPr>
        <w:pStyle w:val="FirstParagraph"/>
      </w:pPr>
      <w:r>
        <w:t xml:space="preserve">The experimental phase yielded significant insights into the relationship between catalyst age and conversion efficiency. Initial tests demonstrated a gasoline yield of 48% by weight, which is consistent with industry benchmarks for high-efficiency units in United States Los Angeles facilities. However, as the simulation progressed through multiple regeneration cycles, a gradual decline in activity was observed.</w:t>
      </w:r>
    </w:p>
    <w:p>
      <w:pPr>
        <w:pStyle w:val="BodyText"/>
      </w:pPr>
      <w:r>
        <w:t xml:space="preserve">Test Cycle</w:t>
      </w:r>
    </w:p>
    <w:p>
      <w:pPr>
        <w:pStyle w:val="BodyText"/>
      </w:pPr>
      <w:r>
        <w:t xml:space="preserve">Catalyst Activity (%)</w:t>
      </w:r>
    </w:p>
    <w:p>
      <w:pPr>
        <w:pStyle w:val="BodyText"/>
      </w:pPr>
      <w:r>
        <w:t xml:space="preserve">Gasoline Yield (wt%)</w:t>
      </w:r>
    </w:p>
    <w:p>
      <w:pPr>
        <w:pStyle w:val="BodyText"/>
      </w:pPr>
      <w:r>
        <w:t xml:space="preserve">LPG Yield (wt%)</w:t>
      </w:r>
    </w:p>
    <w:p>
      <w:pPr>
        <w:pStyle w:val="BodyText"/>
      </w:pPr>
      <w:r>
        <w:t xml:space="preserve">&gt;</w:t>
      </w:r>
    </w:p>
    <w:p>
      <w:pPr>
        <w:pStyle w:val="BodyText"/>
      </w:pPr>
      <w:r>
        <w:t xml:space="preserve">Cycle 1</w:t>
      </w:r>
    </w:p>
    <w:p>
      <w:pPr>
        <w:pStyle w:val="BodyText"/>
      </w:pPr>
      <w:r>
        <w:t xml:space="preserve">100.0</w:t>
      </w:r>
    </w:p>
    <w:p>
      <w:pPr>
        <w:pStyle w:val="BodyText"/>
      </w:pPr>
      <w:r>
        <w:t xml:space="preserve">48.2</w:t>
      </w:r>
    </w:p>
    <w:p>
      <w:pPr>
        <w:pStyle w:val="BodyText"/>
      </w:pPr>
      <w:r>
        <w:t xml:space="preserve">&lt;</w:t>
      </w:r>
    </w:p>
    <w:p>
      <w:pPr>
        <w:pStyle w:val="BodyText"/>
      </w:pPr>
      <w:r>
        <w:t xml:space="preserve">Cycle 5</w:t>
      </w:r>
    </w:p>
    <w:p>
      <w:pPr>
        <w:pStyle w:val="BodyText"/>
      </w:pP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Cycle Number</w:t>
            </w:r>
          </w:p>
        </w:tc>
        <w:tc>
          <w:tcPr/>
          <w:p>
            <w:pPr>
              <w:pStyle w:val="Compact"/>
              <w:jc w:val="center"/>
            </w:pPr>
            <w:r>
              <w:t xml:space="preserve">Catalyst Activity (%)</w:t>
            </w:r>
          </w:p>
        </w:tc>
        <w:tc>
          <w:tcPr/>
          <w:p>
            <w:pPr>
              <w:pStyle w:val="Compact"/>
              <w:jc w:val="center"/>
            </w:pPr>
            <w:r>
              <w:t xml:space="preserve">Gasoline Yield (wt%)</w:t>
            </w:r>
          </w:p>
        </w:tc>
      </w:tr>
      <w:tr>
        <w:tc>
          <w:tcPr/>
          <w:p>
            <w:pPr>
              <w:pStyle w:val="Compact"/>
              <w:jc w:val="left"/>
            </w:pPr>
            <w:r>
              <w:t xml:space="preserve">Cycle 1 (Fresh)</w:t>
            </w:r>
          </w:p>
        </w:tc>
        <w:tc>
          <w:tcPr/>
          <w:p>
            <w:pPr>
              <w:pStyle w:val="Compact"/>
              <w:jc w:val="center"/>
            </w:pPr>
            <w:r>
              <w:t xml:space="preserve">100.0</w:t>
            </w:r>
          </w:p>
        </w:tc>
        <w:tc>
          <w:tcPr/>
          <w:p>
            <w:pPr>
              <w:pStyle w:val="Compact"/>
              <w:jc w:val="center"/>
            </w:pPr>
            <w:r>
              <w:t xml:space="preserve">48.2</w:t>
            </w:r>
          </w:p>
        </w:tc>
      </w:tr>
    </w:tbl>
    <w:p>
      <w:pPr>
        <w:pStyle w:val="BodyText"/>
      </w:pPr>
      <w:r>
        <w:t xml:space="preserve">Cycle Number</w:t>
      </w:r>
    </w:p>
    <w:p>
      <w:pPr>
        <w:pStyle w:val="BodyText"/>
      </w:pPr>
      <w:r>
        <w:t xml:space="preserve">Catalyst Activity (%)</w:t>
      </w:r>
    </w:p>
    <w:p>
      <w:pPr>
        <w:pStyle w:val="BodyText"/>
      </w:pPr>
      <w:r>
        <w:t xml:space="preserve">Gasoline Yield (wt%)</w:t>
      </w:r>
    </w:p>
    <w:p>
      <w:pPr>
        <w:pStyle w:val="BodyText"/>
      </w:pPr>
      <w:r>
        <w:t xml:space="preserve">1 (Fresh)</w:t>
      </w:r>
    </w:p>
    <w:p>
      <w:pPr>
        <w:pStyle w:val="BodyText"/>
      </w:pPr>
      <w:r>
        <w:t xml:space="preserve">100.0</w:t>
      </w:r>
    </w:p>
    <w:p>
      <w:pPr>
        <w:pStyle w:val="BodyText"/>
      </w:pPr>
      <w:r>
        <w:t xml:space="preserve">Cycle Number</w:t>
      </w:r>
    </w:p>
    <w:p>
      <w:pPr>
        <w:pStyle w:val="BodyText"/>
      </w:pPr>
      <w:r>
        <w:t xml:space="preserve">Catalyst Activity (%)</w:t>
      </w:r>
    </w:p>
    <w:p>
      <w:pPr>
        <w:pStyle w:val="BodyText"/>
      </w:pPr>
      <w:r>
        <w:t xml:space="preserve">Gasoline Yield (wt%)</w:t>
      </w:r>
    </w:p>
    <w:p>
      <w:pPr>
        <w:pStyle w:val="BodyText"/>
      </w:pPr>
      <w:r>
        <w:t xml:space="preserve">1 (Fresh)</w:t>
      </w:r>
    </w:p>
    <w:p>
      <w:pPr>
        <w:pStyle w:val="BodyText"/>
      </w:pPr>
      <w:r>
        <w:t xml:space="preserve">100.0</w:t>
      </w:r>
    </w:p>
    <w:p>
      <w:pPr>
        <w:pStyle w:val="BodyText"/>
      </w:pPr>
      <w:r>
        <w:t xml:space="preserve">48.2</w:t>
      </w:r>
    </w:p>
    <w:p>
      <w:pPr>
        <w:pStyle w:val="BodyText"/>
      </w:pPr>
      <w:r>
        <w:t xml:space="preserve">Cycle Number</w:t>
      </w:r>
    </w:p>
    <w:p>
      <w:pPr>
        <w:pStyle w:val="BodyText"/>
      </w:pPr>
      <w:r>
        <w:t xml:space="preserve">Catalyst Activity (%)</w:t>
      </w:r>
    </w:p>
    <w:p>
      <w:pPr>
        <w:pStyle w:val="BodyText"/>
      </w:pPr>
      <w:r>
        <w:t xml:space="preserve">Gasoline Yield (wt%)</w:t>
      </w:r>
    </w:p>
    <w:p>
      <w:pPr>
        <w:pStyle w:val="BodyText"/>
      </w:pPr>
      <w:r>
        <w:t xml:space="preserve">1 (Fresh)</w:t>
      </w:r>
    </w:p>
    <w:p>
      <w:pPr>
        <w:pStyle w:val="BodyText"/>
      </w:pPr>
      <w:r>
        <w:t xml:space="preserve">100.0</w:t>
      </w:r>
    </w:p>
    <w:p>
      <w:pPr>
        <w:pStyle w:val="BodyText"/>
      </w:pPr>
      <w:r>
        <w:t xml:space="preserve">48.2</w:t>
      </w:r>
    </w:p>
    <w:p>
      <w:pPr>
        <w:pStyle w:val="BodyText"/>
      </w:pPr>
      <w:r>
        <w:t xml:space="preserve">Cycle Number</w:t>
      </w:r>
    </w:p>
    <w:p>
      <w:pPr>
        <w:pStyle w:val="BodyText"/>
      </w:pPr>
      <w:r>
        <w:t xml:space="preserve">Catalyst Activity (%)</w:t>
      </w:r>
    </w:p>
    <w:p>
      <w:pPr>
        <w:pStyle w:val="BodyText"/>
      </w:pPr>
      <w:r>
        <w:t xml:space="preserve">Gasoline Yield (wt%)</w:t>
      </w:r>
    </w:p>
    <w:p>
      <w:pPr>
        <w:pStyle w:val="BodyText"/>
      </w:pPr>
      <w:r>
        <w:t xml:space="preserve">&gt;</w:t>
      </w:r>
    </w:p>
    <w:p>
      <w:pPr>
        <w:pStyle w:val="BodyText"/>
      </w:pPr>
      <w:r>
        <w:t xml:space="preserve">1 (Fresh)</w:t>
      </w:r>
    </w:p>
    <w:p>
      <w:pPr>
        <w:pStyle w:val="BodyText"/>
      </w:pPr>
      <w:r>
        <w:t xml:space="preserve">100.0</w:t>
      </w:r>
    </w:p>
    <w:p>
      <w:pPr>
        <w:pStyle w:val="BodyText"/>
      </w:pPr>
      <w:r>
        <w:t xml:space="preserve">48.2</w:t>
      </w:r>
    </w:p>
    <w:p>
      <w:pPr>
        <w:pStyle w:val="BodyText"/>
      </w:pPr>
      <w:r>
        <w:t xml:space="preserve">Cycle Number</w:t>
      </w:r>
    </w:p>
    <w:p>
      <w:pPr>
        <w:pStyle w:val="BodyText"/>
      </w:pPr>
      <w:r>
        <w:t xml:space="preserve">Catalyst Activity (%)</w:t>
      </w:r>
    </w:p>
    <w:p>
      <w:pPr>
        <w:pStyle w:val="BodyText"/>
      </w:pPr>
      <w:r>
        <w:t xml:space="preserve">Gasoline Yield (wt%)</w:t>
      </w:r>
    </w:p>
    <w:p>
      <w:pPr>
        <w:pStyle w:val="BodyText"/>
      </w:pPr>
      <w:r>
        <w:t xml:space="preserve">&gt;</w:t>
      </w:r>
    </w:p>
    <w:p>
      <w:pPr>
        <w:pStyle w:val="BodyText"/>
      </w:pPr>
      <w:r>
        <w:t xml:space="preserve">1 (Fresh)</w:t>
      </w:r>
    </w:p>
    <w:p>
      <w:pPr>
        <w:pStyle w:val="BodyText"/>
      </w:pPr>
      <w:r>
        <w:t xml:space="preserve">100.0</w:t>
      </w:r>
    </w:p>
    <w:p>
      <w:pPr>
        <w:pStyle w:val="BodyText"/>
      </w:pPr>
      <w:r>
        <w:t xml:space="preserve">Data analysis reveals that by Cycle 5, catalyst activity dropped to 82%, corresponding with a gasoline yield reduction to 44.1%. This decline highlights the importance of frequent regeneration and potential catalyst replacement strategies. In United States Los Angeles refineries, where downtime is extremely costly, understanding these decay rates allows for optimized scheduling of maintenance windows.</w:t>
      </w:r>
    </w:p>
    <w:bookmarkEnd w:id="22"/>
    <w:bookmarkStart w:id="23" w:name="iv.-discussion"/>
    <w:p>
      <w:pPr>
        <w:pStyle w:val="Heading2"/>
      </w:pPr>
      <w:r>
        <w:t xml:space="preserve">IV. Discussion</w:t>
      </w:r>
    </w:p>
    <w:p>
      <w:pPr>
        <w:pStyle w:val="FirstParagraph"/>
      </w:pPr>
      <w:r>
        <w:t xml:space="preserve">The findings from this laboratory report underscore the critical importance of precise temperature control in Fluid Catalytic Cracking units. The Chemical Engineer must balance the need for high conversion rates against the risk of thermal degradation and excessive coke formation. Coke deposition not only reduces catalyst efficiency but also increases energy consumption during the regeneration phase, as more heat is required to burn off carbon deposits.</w:t>
      </w:r>
    </w:p>
    <w:p>
      <w:pPr>
        <w:pStyle w:val="BodyText"/>
      </w:pPr>
      <w:r>
        <w:t xml:space="preserve">Furthermore, this study highlights specific challenges faced by Chemical Engineers in United States Los Angeles due to regional environmental constraints. The standard emission limits for sulfur oxides (SOx) and nitrogen oxides (NOx) are significantly lower than federal minimums. Consequently, the process optimization must include desulfurization steps prior to cracking or utilize specialized catalysts capable of reducing sulfur content directly during the reaction phase.</w:t>
      </w:r>
    </w:p>
    <w:p>
      <w:pPr>
        <w:pStyle w:val="BodyText"/>
      </w:pPr>
      <w:r>
        <w:t xml:space="preserve">The economic implications are also substantial. A 4% drop in gasoline yield, as observed in Cycle 5, represents a significant loss in revenue for large-scale operations. Therefore, extending the lifespan of catalyst activity through improved regeneration techniques or alternative zeolite structures offers a tangible return on investment. This aligns with the broader goals of sustainable engineering practices promoted within the chemical industry in United States Los Angeles.</w:t>
      </w:r>
    </w:p>
    <w:bookmarkEnd w:id="23"/>
    <w:bookmarkStart w:id="24" w:name="v.-conclusion"/>
    <w:p>
      <w:pPr>
        <w:pStyle w:val="Heading2"/>
      </w:pPr>
      <w:r>
        <w:t xml:space="preserve">V. Conclusion</w:t>
      </w:r>
    </w:p>
    <w:p>
      <w:pPr>
        <w:pStyle w:val="FirstParagraph"/>
      </w:pPr>
      <w:r>
        <w:t xml:space="preserve">In conclusion, this laboratory report demonstrates that while Fluid Catalytic Cracking remains a robust technology for converting heavy oil fractions into valuable transportation fuels, its efficiency is heavily dependent on catalyst management and process control. The role of the Chemical Engineer is multifaceted, requiring expertise in thermodynamics, kinetics, and environmental science to navigate the complex regulatory landscape of United States Los Angeles.</w:t>
      </w:r>
    </w:p>
    <w:p>
      <w:pPr>
        <w:pStyle w:val="BodyText"/>
      </w:pPr>
      <w:r>
        <w:t xml:space="preserve">The data indicates that proactive maintenance and advanced catalyst formulations can mitigate yield losses associated with deactivation. Future work should focus on integrating machine learning algorithms into process control systems to predict catalyst life more accurately and adjust operating parameters dynamically. By doing so, Chemical Engineers in United States Los Angeles can further enhance the sustainability, profitability, and environmental compliance of petrochemical operations.</w:t>
      </w:r>
    </w:p>
    <w:p>
      <w:pPr>
        <w:pStyle w:val="BodyText"/>
      </w:pPr>
      <w:r>
        <w:t xml:space="preserve">It is recommended that immediate attention be given to testing novel mesoporous zeolites in pilot units to determine their potential for superior hydrothermal stability. Such innovations are crucial for maintaining the competitiveness of refining infrastructure in United States Los Angeles amidst shifting energy demands and stricter regulatory frameworks.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Analysis in United States Los Angeles</dc:title>
  <dc:creator/>
  <dc:language>en</dc:language>
  <cp:keywords/>
  <dcterms:created xsi:type="dcterms:W3CDTF">2026-07-29T21:33:07Z</dcterms:created>
  <dcterms:modified xsi:type="dcterms:W3CDTF">2026-07-29T21:33:07Z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