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Processes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79e7922ed976893b6f40e81d61beab155db5e6b"/>
    <w:p>
      <w:pPr>
        <w:pStyle w:val="Heading1"/>
      </w:pPr>
      <w:r>
        <w:t xml:space="preserve">Laboratory Report: Industrial Chemical Engineering Applications</w:t>
      </w:r>
    </w:p>
    <w:p>
      <w:pPr>
        <w:pStyle w:val="FirstParagraph"/>
      </w:pPr>
      <w:r>
        <w:rPr>
          <w:bCs/>
          <w:b/>
        </w:rPr>
        <w:t xml:space="preserve">Date:</w:t>
      </w:r>
      <w:r>
        <w:t xml:space="preserve"> </w:t>
      </w:r>
      <w:r>
        <w:t xml:space="preserve">October 24, 2023</w:t>
      </w:r>
      <w:r>
        <w:br/>
      </w:r>
      <w:r>
        <w:rPr>
          <w:bCs/>
          <w:b/>
        </w:rPr>
        <w:t xml:space="preserve">Jurisdiction/Region:</w:t>
      </w:r>
      <w:r>
        <w:t xml:space="preserve"> </w:t>
      </w:r>
      <w:r>
        <w:t xml:space="preserve">United States New York City</w:t>
      </w:r>
      <w:r>
        <w:br/>
      </w:r>
      <w:r>
        <w:rPr>
          <w:bCs/>
          <w:b/>
        </w:rPr>
        <w:t xml:space="preserve">Subject:</w:t>
      </w:r>
      <w:r>
        <w:t xml:space="preserve"> </w:t>
      </w:r>
      <w:r>
        <w:t xml:space="preserve">Optimization of Water Treatment and Waste Management Protocols for a High-Density Urban Chemical Engineer Facility</w:t>
      </w:r>
    </w:p>
    <w:p>
      <w:pPr>
        <w:pStyle w:val="BodyText"/>
      </w:pPr>
      <w:r>
        <w:br/>
      </w:r>
    </w:p>
    <w:bookmarkEnd w:id="20"/>
    <w:bookmarkStart w:id="21" w:name="abstract"/>
    <w:p>
      <w:pPr>
        <w:pStyle w:val="Heading2"/>
      </w:pPr>
      <w:r>
        <w:t xml:space="preserve">1. Abstract</w:t>
      </w:r>
    </w:p>
    <w:p>
      <w:pPr>
        <w:pStyle w:val="FirstParagraph"/>
      </w:pPr>
      <w:r>
        <w:t xml:space="preserve">This laboratory report details the operational parameters, chemical analysis, and engineering assessments conducted on a pilot-scale chemical processing facility located within the dense urban environment of United States New York City. As a Chemical Engineer tasked with maintaining regulatory compliance and operational efficiency in one of the most complex metropolitan areas in the world, it is imperative to evaluate how local infrastructure impacts large-scale chemical synthesis and waste management. The primary objective of this study was to analyze the efficacy of our current tertiary wastewater treatment systems against stringent environmental protection standards enforced by both federal bodies and New York City specific municipal codes. The findings indicate that while standard American Chemical Engineering practices are robust, localized adjustments are required to address the unique pressure variations in NYC’s aging water infrastructure.</w:t>
      </w:r>
    </w:p>
    <w:bookmarkEnd w:id="21"/>
    <w:bookmarkStart w:id="22" w:name="introduction"/>
    <w:p>
      <w:pPr>
        <w:pStyle w:val="Heading2"/>
      </w:pPr>
      <w:r>
        <w:t xml:space="preserve">2. Introduction</w:t>
      </w:r>
    </w:p>
    <w:p>
      <w:pPr>
        <w:pStyle w:val="FirstParagraph"/>
      </w:pPr>
      <w:r>
        <w:t xml:space="preserve">The role of a Chemical Engineer extends beyond theoretical reaction kinetics; it encompasses the practical application of chemistry, physics, and mathematics to solve problems involving the production or use of chemicals, fuel, drugs food and many other products. In United States New York City, the stakes are particularly high due to population density and environmental sensitivity. The facility under review serves as a critical node in the regional supply chain for pharmaceutical precursors. However operating within this specific geographic locale presents distinct challenges.</w:t>
      </w:r>
    </w:p>
    <w:p>
      <w:pPr>
        <w:pStyle w:val="BodyText"/>
      </w:pPr>
      <w:r>
        <w:t xml:space="preserve">The primary challenge identified is the integration of modern chemical processing outputs with legacy municipal systems. A Chemical Engineer must ensure that effluent levels remain well below the thresholds set by both the Environmental Protection Agency (EPA) and the New York State Department of Environmental Conservation (NYSDEC). Furthermore, energy consumption metrics are critical due to high utility costs associated with United States New York City commercial zones. This report outlines a comprehensive audit of these systems to propose engineering modifications that enhance sustainability without compromising production output.</w:t>
      </w:r>
    </w:p>
    <w:bookmarkEnd w:id="22"/>
    <w:bookmarkStart w:id="23" w:name="methodology"/>
    <w:p>
      <w:pPr>
        <w:pStyle w:val="Heading2"/>
      </w:pPr>
      <w:r>
        <w:t xml:space="preserve">3. Methodology and Experimental Setup</w:t>
      </w:r>
    </w:p>
    <w:p>
      <w:pPr>
        <w:pStyle w:val="FirstParagraph"/>
      </w:pPr>
      <w:r>
        <w:t xml:space="preserve">The experimental phase involved monitoring the facility’s operations over a period of 720 hours (thirty days). The following parameters were measured continuously:</w:t>
      </w:r>
    </w:p>
    <w:p>
      <w:pPr>
        <w:numPr>
          <w:ilvl w:val="0"/>
          <w:numId w:val="1001"/>
        </w:numPr>
        <w:pStyle w:val="Compact"/>
      </w:pPr>
      <w:r>
        <w:rPr>
          <w:bCs/>
          <w:b/>
        </w:rPr>
        <w:t xml:space="preserve">pH Levels:</w:t>
      </w:r>
      <w:r>
        <w:t xml:space="preserve"> </w:t>
      </w:r>
      <w:r>
        <w:t xml:space="preserve">Monitored at input and output stages using industrial-grade sensors.</w:t>
      </w:r>
    </w:p>
    <w:p>
      <w:pPr>
        <w:numPr>
          <w:ilvl w:val="0"/>
          <w:numId w:val="1001"/>
        </w:numPr>
        <w:pStyle w:val="Compact"/>
      </w:pPr>
      <w:r>
        <w:rPr>
          <w:bCs/>
          <w:b/>
        </w:rPr>
        <w:t xml:space="preserve">Turbidity and Suspended Solids:</w:t>
      </w:r>
      <w:r>
        <w:t xml:space="preserve"> </w:t>
      </w:r>
      <w:r>
        <w:t xml:space="preserve">Measured via nephelometric turbidimetry units.</w:t>
      </w:r>
    </w:p>
    <w:p>
      <w:pPr>
        <w:numPr>
          <w:ilvl w:val="0"/>
          <w:numId w:val="1001"/>
        </w:numPr>
        <w:pStyle w:val="Compact"/>
      </w:pPr>
      <w:r>
        <w:t xml:space="preserve">Chemical Oxygen Demand (COD): Determined through standard dichromate reflux methods to assess organic pollutant load.</w:t>
      </w:r>
    </w:p>
    <w:p>
      <w:pPr>
        <w:numPr>
          <w:ilvl w:val="0"/>
          <w:numId w:val="1001"/>
        </w:numPr>
        <w:pStyle w:val="Compact"/>
      </w:pPr>
      <w:r>
        <w:rPr>
          <w:bCs/>
          <w:b/>
        </w:rPr>
        <w:t xml:space="preserve">Energy Consumption:</w:t>
      </w:r>
      <w:r>
        <w:t xml:space="preserve"> </w:t>
      </w:r>
      <w:r>
        <w:t xml:space="preserve">Tracked for heating, cooling, and pumping systems to calculate efficiency ratios.</w:t>
      </w:r>
    </w:p>
    <w:p>
      <w:pPr>
        <w:pStyle w:val="FirstParagraph"/>
      </w:pPr>
      <w:r>
        <w:t xml:space="preserve">All data collection adhered strictly to ASTM International standards, which are widely adopted by Chemical Engineers in the United States. Special attention was paid to thermal regulation units due to the extreme temperature fluctuations experienced in New York City during seasonal transitions.</w:t>
      </w:r>
    </w:p>
    <w:bookmarkEnd w:id="23"/>
    <w:bookmarkStart w:id="24" w:name="results"/>
    <w:p>
      <w:pPr>
        <w:pStyle w:val="Heading2"/>
      </w:pPr>
      <w:r>
        <w:t xml:space="preserve">4. Results and Data Analysis</w:t>
      </w:r>
    </w:p>
    <w:p>
      <w:pPr>
        <w:pStyle w:val="FirstParagraph"/>
      </w:pPr>
      <w:r>
        <w:t xml:space="preserve">Parameter</w:t>
      </w:r>
    </w:p>
    <w:p>
      <w:pPr>
        <w:pStyle w:val="BodyText"/>
      </w:pPr>
      <w:r>
        <w:t xml:space="preserve">Avg. Input Value</w:t>
      </w:r>
    </w:p>
    <w:p>
      <w:pPr>
        <w:pStyle w:val="BodyText"/>
      </w:pPr>
      <w:r>
        <w:t xml:space="preserve">Avg. Output Value&lt; th&gt;NYSDEC Limit for NYC Discharge</w:t>
      </w:r>
    </w:p>
    <w:p>
      <w:pPr>
        <w:pStyle w:val="BodyText"/>
      </w:pPr>
      <w:r>
        <w:t xml:space="preserve">pH Level (Standard Units)&lt; td&gt;6.5 – 7.0</w:t>
      </w:r>
    </w:p>
    <w:p>
      <w:pPr>
        <w:pStyle w:val="BodyText"/>
      </w:pPr>
      <w:r>
        <w:t xml:space="preserve">6.8</w:t>
      </w:r>
    </w:p>
    <w:p>
      <w:pPr>
        <w:pStyle w:val="BodyText"/>
      </w:pPr>
      <w:r>
        <w:t xml:space="preserve">6.0 – 8.5</w:t>
      </w:r>
    </w:p>
    <w:p>
      <w:pPr>
        <w:pStyle w:val="BodyText"/>
      </w:pPr>
      <w:r>
        <w:t xml:space="preserve">COD (mg/L)&lt; th &gt;420 mg/L &lt; th&gt;35 mg/L</w:t>
      </w:r>
    </w:p>
    <w:p>
      <w:pPr>
        <w:pStyle w:val="BodyText"/>
      </w:pPr>
      <w:r>
        <w:t xml:space="preserve">&lt; 75 mg/L</w:t>
      </w:r>
    </w:p>
    <w:p>
      <w:pPr>
        <w:pStyle w:val="BodyText"/>
      </w:pPr>
      <w:r>
        <w:t xml:space="preserve">Turbidity (NTU)&lt; td&gt;N/A (Process Water)</w:t>
      </w:r>
    </w:p>
    <w:p>
      <w:pPr>
        <w:pStyle w:val="BodyText"/>
      </w:pPr>
      <w:r>
        <w:t xml:space="preserve">0.5 NTU &lt; th&gt;&lt; 3.0 NTU</w:t>
      </w:r>
    </w:p>
    <w:p>
      <w:pPr>
        <w:pStyle w:val="BodyText"/>
      </w:pPr>
      <w:r>
        <w:t xml:space="preserve">Energy Usage (kWh/kg Product)</w:t>
      </w:r>
    </w:p>
    <w:p>
      <w:pPr>
        <w:pStyle w:val="BodyText"/>
      </w:pPr>
      <w:r>
        <w:t xml:space="preserve">12.4 kWh/kg</w:t>
      </w:r>
    </w:p>
    <w:p>
      <w:pPr>
        <w:pStyle w:val="BodyText"/>
      </w:pPr>
      <w:r>
        <w:t xml:space="preserve">N/A (Benchmark Only)</w:t>
      </w:r>
    </w:p>
    <w:p>
      <w:pPr>
        <w:pStyle w:val="BodyText"/>
      </w:pPr>
      <w:r>
        <w:t xml:space="preserve">The data reveals that the current treatment system successfully reduces Chemical Oxygen Demand and turbidity well below the regulatory limits required for discharge into United States New York City sewers. However, the pH levels showed slight volatility during peak production hours. Additionally, energy consumption was higher than anticipated, largely due to the need for constant heating in winter months given New York’s climate.</w:t>
      </w:r>
    </w:p>
    <w:bookmarkEnd w:id="24"/>
    <w:bookmarkStart w:id="28" w:name="discussion"/>
    <w:p>
      <w:pPr>
        <w:pStyle w:val="Heading2"/>
      </w:pPr>
      <w:r>
        <w:t xml:space="preserve">5. Discussion</w:t>
      </w:r>
    </w:p>
    <w:p>
      <w:pPr>
        <w:pStyle w:val="FirstParagraph"/>
      </w:pPr>
      <w:r>
        <w:t xml:space="preserve">The results highlight a critical area for improvement regarding thermal efficiency and pH stabilization. For any Chemical Engineer working in United States New York City, understanding the interplay between external environmental factors and internal process controls is vital.</w:t>
      </w:r>
    </w:p>
    <w:bookmarkStart w:id="25" w:name="thermal-efficiency-challenges"/>
    <w:p>
      <w:pPr>
        <w:pStyle w:val="Heading3"/>
      </w:pPr>
      <w:r>
        <w:t xml:space="preserve">5.1 Thermal Efficiency Challenges</w:t>
      </w:r>
    </w:p>
    <w:p>
      <w:pPr>
        <w:pStyle w:val="FirstParagraph"/>
      </w:pPr>
      <w:r>
        <w:t xml:space="preserve">New York City experiences significant seasonal variance. The current heating systems rely on natural gas, a commodity subject to volatile pricing in the United States market. To mitigate costs and carbon footprint, we propose installing a heat recovery unit that captures waste heat from the exothermic reactions back into the pre-heating stage of incoming reactants. This is a standard practice in modern Chemical Engineering but requires specific retrofitting compatible with older building structures common in parts of New York City.</w:t>
      </w:r>
    </w:p>
    <w:bookmarkEnd w:id="25"/>
    <w:bookmarkStart w:id="26" w:name="regulatory-compliance-and-ph-control"/>
    <w:p>
      <w:pPr>
        <w:pStyle w:val="Heading3"/>
      </w:pPr>
      <w:r>
        <w:t xml:space="preserve">5.2 Regulatory Compliance and pH Control</w:t>
      </w:r>
    </w:p>
    <w:p>
      <w:pPr>
        <w:pStyle w:val="FirstParagraph"/>
      </w:pPr>
      <w:r>
        <w:t xml:space="preserve">The slight volatility in pH levels, while within safe limits, poses a risk if upstream municipal pumps fluctuate, which is common during heavy rain events in NYC that can overwhelm combined sewer systems. Automated dosing pumps with real-time feedback loops should be implemented to ensure the effluent remains strictly neutralized before entering the city grid. This proactive approach aligns with best practices for Chemical Engineers aiming to prevent penalties from local authorities.</w:t>
      </w:r>
    </w:p>
    <w:bookmarkEnd w:id="26"/>
    <w:bookmarkStart w:id="27" w:name="the-urban-context"/>
    <w:p>
      <w:pPr>
        <w:pStyle w:val="Heading3"/>
      </w:pPr>
      <w:r>
        <w:t xml:space="preserve">5.3 The Urban Context</w:t>
      </w:r>
    </w:p>
    <w:p>
      <w:pPr>
        <w:pStyle w:val="FirstParagraph"/>
      </w:pPr>
      <w:r>
        <w:t xml:space="preserve">Operating a chemical facility in United States New York City requires not just technical expertise but also logistical foresight. Supply chain disruptions caused by traffic congestion or street closures can delay the delivery of raw materials. Therefore, inventory management strategies must be more robust than those used in rural settings. The Chemical Engineer must factor in these logistical variables when designing production schedules.</w:t>
      </w:r>
    </w:p>
    <w:bookmarkEnd w:id="27"/>
    <w:bookmarkEnd w:id="28"/>
    <w:bookmarkStart w:id="29" w:name="conclusion"/>
    <w:p>
      <w:pPr>
        <w:pStyle w:val="Heading2"/>
      </w:pPr>
      <w:r>
        <w:t xml:space="preserve">6. Conclusion</w:t>
      </w:r>
    </w:p>
    <w:p>
      <w:pPr>
        <w:pStyle w:val="FirstParagraph"/>
      </w:pPr>
      <w:r>
        <w:t xml:space="preserve">This laboratory report confirms that the current operational framework of our facility is largely compliant with environmental standards pertinent to United States New York City. However, optimization opportunities exist regarding energy consumption and automated pH control. By implementing heat recovery systems and advanced dosing protocols, we can enhance both economic efficiency and environmental stewardship.</w:t>
      </w:r>
    </w:p>
    <w:p>
      <w:pPr>
        <w:pStyle w:val="BodyText"/>
      </w:pPr>
      <w:r>
        <w:t xml:space="preserve">The role of the Chemical Engineer in this context is multifaceted: acting as a guardian of public health through safe waste disposal, an economist through energy optimization, and an innovator through process improvement. As United States New York City continues to evolve its green building initiatives and sustainability mandates, our facility must remain at the forefront of these changes. The recommendations outlined herein provide a clear path forward for achieving these goals while maintaining high production standards.</w:t>
      </w:r>
    </w:p>
    <w:bookmarkEnd w:id="29"/>
    <w:bookmarkStart w:id="30" w:name="references"/>
    <w:p>
      <w:pPr>
        <w:pStyle w:val="Heading2"/>
      </w:pPr>
      <w:r>
        <w:t xml:space="preserve">7. References</w:t>
      </w:r>
    </w:p>
    <w:p>
      <w:pPr>
        <w:numPr>
          <w:ilvl w:val="0"/>
          <w:numId w:val="1002"/>
        </w:numPr>
        <w:pStyle w:val="Compact"/>
      </w:pPr>
      <w:r>
        <w:t xml:space="preserve">New York City Department of Environmental Protection (NYC DEP). "Wastewater Discharge Requirements." United States New York City Municipal Code.</w:t>
      </w:r>
    </w:p>
    <w:p>
      <w:pPr>
        <w:numPr>
          <w:ilvl w:val="0"/>
          <w:numId w:val="1002"/>
        </w:numPr>
        <w:pStyle w:val="Compact"/>
      </w:pPr>
      <w:r>
        <w:t xml:space="preserve">EPA. "Effluent Guidelines for Chemical Manufacturing." U.S. Environmental Protection Agency.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Processes in United States New York City</dc:title>
  <dc:creator/>
  <dc:language>en</dc:language>
  <cp:keywords/>
  <dcterms:created xsi:type="dcterms:W3CDTF">2026-07-30T02:25:48Z</dcterms:created>
  <dcterms:modified xsi:type="dcterms:W3CDTF">2026-07-30T02:25:48Z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