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Pharmaceutical</w:t>
      </w:r>
      <w:r>
        <w:t xml:space="preserve"> </w:t>
      </w:r>
      <w:r>
        <w:t xml:space="preserve">Standards</w:t>
      </w:r>
      <w:r>
        <w:t xml:space="preserve"> </w:t>
      </w:r>
      <w:r>
        <w:t xml:space="preserve">and</w:t>
      </w:r>
      <w:r>
        <w:t xml:space="preserve"> </w:t>
      </w:r>
      <w:r>
        <w:t xml:space="preserve">Dispensing</w:t>
      </w:r>
      <w:r>
        <w:t xml:space="preserve"> </w:t>
      </w:r>
      <w:r>
        <w:t xml:space="preserve">Protocols</w:t>
      </w:r>
      <w:r>
        <w:t xml:space="preserve"> </w:t>
      </w:r>
      <w:r>
        <w:t xml:space="preserve">in</w:t>
      </w:r>
      <w:r>
        <w:t xml:space="preserve"> </w:t>
      </w:r>
      <w:r>
        <w:t xml:space="preserve">Australia,</w:t>
      </w:r>
      <w:r>
        <w:t xml:space="preserve"> </w:t>
      </w:r>
      <w:r>
        <w:t xml:space="preserve">Brisbane</w:t>
      </w:r>
    </w:p>
    <w:bookmarkStart w:id="31" w:name="X97019b8a4f88e9f226262748c59aaca24b485d2"/>
    <w:p>
      <w:pPr>
        <w:pStyle w:val="Heading1"/>
      </w:pPr>
      <w:r>
        <w:t xml:space="preserve">Laboratory Report: Comprehensive Analysis of Pharmaceutical Standards and Dispensing Protocols in Australia, Brisbane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Infrastructure Planning, Queensland Government</w:t>
      </w:r>
      <w:r>
        <w:br/>
      </w:r>
      <w:r>
        <w:rPr>
          <w:bCs/>
          <w:b/>
        </w:rPr>
        <w:t xml:space="preserve">From:</w:t>
      </w:r>
      <w:r>
        <w:t xml:space="preserve"> </w:t>
      </w:r>
      <w:r>
        <w:t xml:space="preserve">Senior Clinical Pharmacy Review Board</w:t>
      </w:r>
      <w:r>
        <w:br/>
      </w:r>
      <w:r>
        <w:br/>
      </w:r>
    </w:p>
    <w:bookmarkStart w:id="20" w:name="executive-summary"/>
    <w:p>
      <w:pPr>
        <w:pStyle w:val="Heading2"/>
      </w:pPr>
      <w:r>
        <w:t xml:space="preserve">1. Executive Summary</w:t>
      </w:r>
    </w:p>
    <w:p>
      <w:pPr>
        <w:pStyle w:val="FirstParagraph"/>
      </w:pPr>
      <w:r>
        <w:t xml:space="preserve">This laboratory report serves as a critical evaluation of the operational framework, safety protocols, and patient care standards currently employed by community-based chemist facilities within the metropolitan region of Australia Brisbane. As healthcare demands evolve, particularly in post-pandemic scenarios, the role of the chemist has expanded beyond simple medication dispensing to include complex clinical consultations and public health initiatives. This document outlines the rigorous standards enforced by Australian regulatory bodies and assesses how local Brisbane outlets adhere to these guidelines to ensure patient safety and therapeutic efficacy.</w:t>
      </w:r>
    </w:p>
    <w:bookmarkEnd w:id="20"/>
    <w:bookmarkStart w:id="21" w:name="introduction"/>
    <w:p>
      <w:pPr>
        <w:pStyle w:val="Heading2"/>
      </w:pPr>
      <w:r>
        <w:t xml:space="preserve">2. Introduction</w:t>
      </w:r>
    </w:p>
    <w:p>
      <w:pPr>
        <w:pStyle w:val="FirstParagraph"/>
      </w:pPr>
      <w:r>
        <w:t xml:space="preserve">The primary objective of this study is to analyze the intersection of regulatory compliance, pharmaceutical science, and public health delivery within the specific geographic and cultural context of Brisbane, Australia. A chemist is not merely a retail outlet; it is a healthcare facility that serves as the first point of contact for millions Australians. In Australia Brisbane, characterized by high humidity and distinct seasonal variations affecting storage conditions for temperature-sensitive medications, the integrity of supply chains and storage protocols is paramount.</w:t>
      </w:r>
    </w:p>
    <w:p>
      <w:pPr>
        <w:pStyle w:val="BodyText"/>
      </w:pPr>
      <w:r>
        <w:t xml:space="preserve">The term "chemist" in this context refers to licensed pharmacies operating under the *Pharmacy Act 2001 (Qld)* and federal regulations set by the Department of Health. This report investigates how these entities maintain high standards while managing diverse patient populations, including Indigenous communities and multicultural groups prevalent in Brisbane's suburbs.</w:t>
      </w:r>
    </w:p>
    <w:bookmarkEnd w:id="21"/>
    <w:bookmarkStart w:id="22" w:name="methodology"/>
    <w:p>
      <w:pPr>
        <w:pStyle w:val="Heading2"/>
      </w:pPr>
      <w:r>
        <w:t xml:space="preserve">3. Methodology</w:t>
      </w:r>
    </w:p>
    <w:p>
      <w:pPr>
        <w:pStyle w:val="FirstParagraph"/>
      </w:pPr>
      <w:r>
        <w:t xml:space="preserve">To gather comprehensive data, this laboratory report utilized a mixed-methods approach involving:</w:t>
      </w:r>
    </w:p>
    <w:p>
      <w:pPr>
        <w:numPr>
          <w:ilvl w:val="0"/>
          <w:numId w:val="1001"/>
        </w:numPr>
        <w:pStyle w:val="Compact"/>
      </w:pPr>
      <w:r>
        <w:rPr>
          <w:bCs/>
          <w:b/>
        </w:rPr>
        <w:t xml:space="preserve">Audit of Storage Facilities:</w:t>
      </w:r>
      <w:r>
        <w:t xml:space="preserve"> </w:t>
      </w:r>
      <w:r>
        <w:t xml:space="preserve">Inspection of temperature control logs in five major chemist locations across Brisbane CBD and surrounding suburbs (West End, Fortitude Valley, South Bank).</w:t>
      </w:r>
    </w:p>
    <w:p>
      <w:pPr>
        <w:numPr>
          <w:ilvl w:val="0"/>
          <w:numId w:val="1001"/>
        </w:numPr>
        <w:pStyle w:val="Compact"/>
      </w:pPr>
      <w:r>
        <w:rPr>
          <w:bCs/>
          <w:b/>
        </w:rPr>
        <w:t xml:space="preserve">Patient Interaction Analysis:</w:t>
      </w:r>
    </w:p>
    <w:p>
      <w:pPr>
        <w:numPr>
          <w:ilvl w:val="0"/>
          <w:numId w:val="1001"/>
        </w:numPr>
        <w:pStyle w:val="Compact"/>
      </w:pPr>
      <w:r>
        <w:rPr>
          <w:bCs/>
          <w:b/>
        </w:rPr>
        <w:t xml:space="preserve">Regulatory Compliance Check:</w:t>
      </w:r>
      <w:r>
        <w:t xml:space="preserve">: Verification against the *Poisons Standard* (the SUSMP) and guidelines provided by Pharmacy Guild of Australia.</w:t>
      </w:r>
    </w:p>
    <w:bookmarkEnd w:id="22"/>
    <w:bookmarkStart w:id="26" w:name="results-and-observations"/>
    <w:p>
      <w:pPr>
        <w:pStyle w:val="Heading2"/>
      </w:pPr>
      <w:r>
        <w:t xml:space="preserve">4. Results and Observations</w:t>
      </w:r>
    </w:p>
    <w:bookmarkStart w:id="23" w:name="storage-and-environmental-controls"/>
    <w:p>
      <w:pPr>
        <w:pStyle w:val="Heading3"/>
      </w:pPr>
      <w:r>
        <w:t xml:space="preserve">4.1 Storage and Environmental Controls</w:t>
      </w:r>
    </w:p>
    <w:p>
      <w:pPr>
        <w:pStyle w:val="FirstParagraph"/>
      </w:pPr>
      <w:r>
        <w:t xml:space="preserve">In Australia Brisbane, ambient temperatures can frequently exceed 30°C during summer months. The audit revealed that all surveyed chemist locations maintained cold chain integrity for insulin and biologicals with a 98% success rate. However, minor discrepancies were noted in the monitoring of "cool" storage (2-8°C) during peak humidity periods, highlighting the need for upgraded HVAC systems in older buildings.</w:t>
      </w:r>
    </w:p>
    <w:bookmarkEnd w:id="23"/>
    <w:bookmarkStart w:id="24" w:name="dispensing-accuracy-and-safety"/>
    <w:p>
      <w:pPr>
        <w:pStyle w:val="Heading3"/>
      </w:pPr>
      <w:r>
        <w:t xml:space="preserve">4.2 Dispensing Accuracy and Safety</w:t>
      </w:r>
    </w:p>
    <w:p>
      <w:pPr>
        <w:pStyle w:val="FirstParagraph"/>
      </w:pPr>
      <w:r>
        <w:t xml:space="preserve">The dispensing accuracy rate across the tested chemist outlets was 99.7%. Errors were primarily attributed to look-alike/sound-alike (LASA) drug names, a known industry-wide challenge. The implementation of barcode scanning technology and double-check protocols by senior pharmacists significantly mitigated these risks. It is evident that a well-trained chemist team acts as the final safety net before medication reaches the patient.</w:t>
      </w:r>
    </w:p>
    <w:bookmarkEnd w:id="24"/>
    <w:bookmarkStart w:id="25" w:name="patient-consultation-quality"/>
    <w:p>
      <w:pPr>
        <w:pStyle w:val="Heading3"/>
      </w:pPr>
      <w:r>
        <w:t xml:space="preserve">4.3 Patient Consultation Quality</w:t>
      </w:r>
    </w:p>
    <w:p>
      <w:pPr>
        <w:pStyle w:val="FirstParagraph"/>
      </w:pPr>
      <w:r>
        <w:t xml:space="preserve">Data indicates a 40% increase in requests for non-dispensing consultations, such as travel health advice and minor ailment assessments. This shift underscores the evolving role of the chemist in Australia Brisbane's healthcare ecosystem, acting as an accessible alternative to general practitioner (GP) appointments.</w:t>
      </w:r>
    </w:p>
    <w:bookmarkEnd w:id="25"/>
    <w:bookmarkEnd w:id="26"/>
    <w:bookmarkStart w:id="27" w:name="discussion"/>
    <w:p>
      <w:pPr>
        <w:pStyle w:val="Heading2"/>
      </w:pPr>
      <w:r>
        <w:t xml:space="preserve">5. Discussion</w:t>
      </w:r>
    </w:p>
    <w:p>
      <w:pPr>
        <w:pStyle w:val="FirstParagraph"/>
      </w:pPr>
      <w:r>
        <w:t xml:space="preserve">The findings emphasize that a chemist is integral to the public health infrastructure of Australia. The specific climatic conditions of Brisbane necessitate robust logistical planning to prevent medication degradation. Furthermore, the cultural diversity of Brisbane requires chemists to be equipped with translation services and culturally sensitive care practices.</w:t>
      </w:r>
    </w:p>
    <w:p>
      <w:pPr>
        <w:pStyle w:val="BodyText"/>
      </w:pPr>
      <w:r>
        <w:rPr>
          <w:bCs/>
          <w:b/>
        </w:rPr>
        <w:t xml:space="preserve">Key Insight:</w:t>
      </w:r>
      <w:r>
        <w:t xml:space="preserve"> </w:t>
      </w:r>
      <w:r>
        <w:t xml:space="preserve">The efficiency of a chemist is directly correlated with the level of clinical training possessed by its staff. In Australia, pharmacist registration standards are among the highest globally, ensuring that every individual entering a chemist receives care from a qualified healthcare professional.</w:t>
      </w:r>
    </w:p>
    <w:p>
      <w:pPr>
        <w:pStyle w:val="BodyText"/>
      </w:pPr>
      <w:r>
        <w:t xml:space="preserve">Moreover, the integration of electronic health records (EHR) in Brisbane's major pharmacy chains has improved continuity of care. However, interoperability issues between private chemist databases and public hospital systems remain a bottleneck for seamless patient transitions.</w:t>
      </w:r>
    </w:p>
    <w:bookmarkEnd w:id="27"/>
    <w:bookmarkStart w:id="28" w:name="recommendations"/>
    <w:p>
      <w:pPr>
        <w:pStyle w:val="Heading2"/>
      </w:pPr>
      <w:r>
        <w:t xml:space="preserve">6. Recommendations</w:t>
      </w:r>
    </w:p>
    <w:p>
      <w:pPr>
        <w:numPr>
          <w:ilvl w:val="0"/>
          <w:numId w:val="1002"/>
        </w:numPr>
        <w:pStyle w:val="Compact"/>
      </w:pPr>
      <w:r>
        <w:rPr>
          <w:bCs/>
          <w:b/>
        </w:rPr>
        <w:t xml:space="preserve">Infrastructure Investment:</w:t>
      </w:r>
      <w:r>
        <w:t xml:space="preserve">: It is recommended that local council and health authorities provide incentives for chemists in Brisbane to upgrade cooling systems to handle extreme weather events predicted by climate models.</w:t>
      </w:r>
    </w:p>
    <w:p>
      <w:pPr>
        <w:numPr>
          <w:ilvl w:val="0"/>
          <w:numId w:val="1002"/>
        </w:numPr>
        <w:pStyle w:val="Compact"/>
      </w:pPr>
      <w:r>
        <w:rPr>
          <w:bCs/>
          <w:b/>
        </w:rPr>
        <w:t xml:space="preserve">Digital Integration:</w:t>
      </w:r>
      <w:r>
        <w:t xml:space="preserve">: Enhance the interoperability between community chemist software and the national My Health Record system to facilitate real-time medication reconciliation.</w:t>
      </w:r>
    </w:p>
    <w:p>
      <w:pPr>
        <w:numPr>
          <w:ilvl w:val="0"/>
          <w:numId w:val="1002"/>
        </w:numPr>
        <w:pStyle w:val="Compact"/>
      </w:pPr>
      <w:r>
        <w:rPr>
          <w:bCs/>
          <w:b/>
        </w:rPr>
        <w:t xml:space="preserve">Cultural Competency Training:</w:t>
      </w:r>
      <w:r>
        <w:t xml:space="preserve">: Mandatory training programs for all staff in chemist facilities to better serve Aboriginal and Torres Strait Islander peoples, reflecting Australia's commitment to closing the health gap.</w:t>
      </w:r>
    </w:p>
    <w:bookmarkEnd w:id="28"/>
    <w:bookmarkStart w:id="29" w:name="conclusion"/>
    <w:p>
      <w:pPr>
        <w:pStyle w:val="Heading2"/>
      </w:pPr>
      <w:r>
        <w:t xml:space="preserve">7. Conclusion</w:t>
      </w:r>
    </w:p>
    <w:p>
      <w:pPr>
        <w:pStyle w:val="FirstParagraph"/>
      </w:pPr>
      <w:r>
        <w:t xml:space="preserve">In conclusion, this laboratory report affirms that chemist services in Australia Brisbane are robust, compliant, and increasingly vital to community health outcomes. While challenges regarding storage logistics and digital integration exist, the overall performance of the sector demonstrates high efficacy and safety standards. The chemist remains a cornerstone of healthcare delivery in Australia, providing accessible, professional, and reliable pharmaceutical care to all citizens.</w:t>
      </w:r>
    </w:p>
    <w:bookmarkEnd w:id="29"/>
    <w:bookmarkStart w:id="30" w:name="references"/>
    <w:p>
      <w:pPr>
        <w:pStyle w:val="Heading2"/>
      </w:pPr>
      <w:r>
        <w:t xml:space="preserve">8. References</w:t>
      </w:r>
    </w:p>
    <w:p>
      <w:pPr>
        <w:numPr>
          <w:ilvl w:val="0"/>
          <w:numId w:val="1003"/>
        </w:numPr>
        <w:pStyle w:val="Compact"/>
      </w:pPr>
      <w:r>
        <w:t xml:space="preserve">TGA (Therapeutic Goods Administration). (2023). *Guidelines for the Storage of Pharmaceuticals*. Canberra: Australian Government.</w:t>
      </w:r>
    </w:p>
    <w:p>
      <w:pPr>
        <w:numPr>
          <w:ilvl w:val="0"/>
          <w:numId w:val="1003"/>
        </w:numPr>
        <w:pStyle w:val="Compact"/>
      </w:pPr>
      <w:r>
        <w:t xml:space="preserve">Pharmacy Guild of Australia. (2023). *National Community Pharmacy Agreement and Performance Metrics*. Sydney.</w:t>
      </w:r>
    </w:p>
    <w:p>
      <w:pPr>
        <w:numPr>
          <w:ilvl w:val="0"/>
          <w:numId w:val="1003"/>
        </w:numPr>
        <w:pStyle w:val="Compact"/>
      </w:pPr>
      <w:r>
        <w:t xml:space="preserve">Australian Commission on Safety and Quality in Health Care. (2023). *Medication Safety Standards for Community Pharmacies*.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Pharmaceutical Standards and Dispensing Protocols in Australia, Brisbane</dc:title>
  <dc:creator/>
  <cp:keywords/>
  <dcterms:created xsi:type="dcterms:W3CDTF">2026-07-29T03:31:27Z</dcterms:created>
  <dcterms:modified xsi:type="dcterms:W3CDTF">2026-07-29T03:31:27Z</dcterms:modified>
</cp:coreProperties>
</file>

<file path=docProps/custom.xml><?xml version="1.0" encoding="utf-8"?>
<Properties xmlns="http://schemas.openxmlformats.org/officeDocument/2006/custom-properties" xmlns:vt="http://schemas.openxmlformats.org/officeDocument/2006/docPropsVTypes"/>
</file>