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1" w:name="X3025331aa3f39ca0cf39f34ea0287b5806771a3"/>
    <w:p>
      <w:pPr>
        <w:pStyle w:val="Heading1"/>
      </w:pPr>
      <w:r>
        <w:t xml:space="preserve">Laboratory Report: Quality Control Analysis of Pharmaceutical Compounds</w:t>
      </w:r>
    </w:p>
    <w:p>
      <w:pPr>
        <w:pStyle w:val="FirstParagraph"/>
      </w:pPr>
      <w:r>
        <w:rPr>
          <w:bCs/>
          <w:b/>
        </w:rPr>
        <w:t xml:space="preserve">Institution:</w:t>
      </w:r>
      <w:r>
        <w:t xml:space="preserve"> </w:t>
      </w:r>
      <w:r>
        <w:t xml:space="preserve">Melbourne Advanced Chemical Research Institute (MACRI)</w:t>
      </w:r>
    </w:p>
    <w:p>
      <w:pPr>
        <w:pStyle w:val="BodyText"/>
      </w:pPr>
      <w:r>
        <w:rPr>
          <w:bCs/>
          <w:b/>
        </w:rPr>
        <w:t xml:space="preserve">Date:</w:t>
      </w:r>
      <w:r>
        <w:t xml:space="preserve"> </w:t>
      </w:r>
      <w:r>
        <w:t xml:space="preserve">October 24, 2023</w:t>
      </w:r>
    </w:p>
    <w:bookmarkStart w:id="20" w:name="Xe4c0789a4169ff81725071ad7f645647ac444ea"/>
    <w:p>
      <w:pPr>
        <w:pStyle w:val="Heading3"/>
      </w:pPr>
      <w:r>
        <w:rPr>
          <w:bCs/>
          <w:b/>
        </w:rPr>
        <w:t xml:space="preserve">Prepared For:</w:t>
      </w:r>
      <w:r>
        <w:t xml:space="preserve">The Australian Therapeutic Goods Administration (TGA)</w:t>
      </w:r>
    </w:p>
    <w:bookmarkEnd w:id="20"/>
    <w:bookmarkEnd w:id="21"/>
    <w:bookmarkStart w:id="22" w:name="abstract"/>
    <w:p>
      <w:pPr>
        <w:pStyle w:val="Heading2"/>
      </w:pPr>
      <w:r>
        <w:rPr>
          <w:bCs/>
          <w:b/>
        </w:rPr>
        <w:t xml:space="preserve">1. Abstract</w:t>
      </w:r>
    </w:p>
    <w:p>
      <w:pPr>
        <w:pStyle w:val="FirstParagraph"/>
      </w:pPr>
      <w:r>
        <w:t xml:space="preserve">This laboratory report details the comprehensive analytical procedures and findings associated with the quality control testing of a batch of Paracetamol 500mg tablets manufactured for distribution within Australia Melbourne. The primary objective was to ensure compliance with the stringent standards set by the Therapeutic Goods Administration (TGA). The study utilized High-Performance Liquid Chromatography (HPLC) and Dissolution Testing methodologies. Results indicate that the product meets all pharmacopeial specifications, ensuring patient safety and efficacy in the Australian market.</w:t>
      </w:r>
    </w:p>
    <w:bookmarkEnd w:id="22"/>
    <w:bookmarkStart w:id="23" w:name="introduction"/>
    <w:p>
      <w:pPr>
        <w:pStyle w:val="Heading2"/>
      </w:pPr>
      <w:r>
        <w:rPr>
          <w:bCs/>
          <w:b/>
        </w:rPr>
        <w:t xml:space="preserve">2. Introduction</w:t>
      </w:r>
    </w:p>
    <w:p>
      <w:pPr>
        <w:pStyle w:val="FirstParagraph"/>
      </w:pPr>
      <w:r>
        <w:t xml:space="preserve">The role of a professional</w:t>
      </w:r>
      <w:r>
        <w:t xml:space="preserve"> </w:t>
      </w:r>
      <w:r>
        <w:rPr>
          <w:bCs/>
          <w:b/>
        </w:rPr>
        <w:t xml:space="preserve">Chemist</w:t>
      </w:r>
      <w:r>
        <w:t xml:space="preserve"> </w:t>
      </w:r>
      <w:r>
        <w:t xml:space="preserve">extends beyond simple compounding; it involves rigorous scientific verification to guarantee that medicinal products are safe, effective, and of high quality. In the context of Australia Melbourne, a city renowned for its robust healthcare infrastructure and regulatory frameworks, the standards for pharmaceutical analysis are exceptionally high. This report outlines the experimental design used to verify the purity and dissolution profiles of Paracetamol tablets.</w:t>
      </w:r>
    </w:p>
    <w:p>
      <w:pPr>
        <w:pStyle w:val="BodyText"/>
      </w:pPr>
      <w:r>
        <w:rPr>
          <w:bCs/>
          <w:b/>
        </w:rPr>
        <w:t xml:space="preserve">Australia Melbourne</w:t>
      </w:r>
      <w:r>
        <w:t xml:space="preserve"> </w:t>
      </w:r>
      <w:r>
        <w:t xml:space="preserve">serves as a critical hub for pharmaceutical distribution in Oceania. Consequently, local laboratories must adhere strictly to Good Manufacturing Practice (GMP) guidelines. The significance of this report lies in its validation that the specific batch under test conforms to these national requirements. Any deviation could lead to significant public health risks and regulatory non-compliance within the</w:t>
      </w:r>
      <w:r>
        <w:t xml:space="preserve"> </w:t>
      </w:r>
      <w:r>
        <w:rPr>
          <w:bCs/>
          <w:b/>
        </w:rPr>
        <w:t xml:space="preserve">Australia Melbourne</w:t>
      </w:r>
      <w:r>
        <w:t xml:space="preserve"> </w:t>
      </w:r>
      <w:r>
        <w:t xml:space="preserve">region.</w:t>
      </w:r>
    </w:p>
    <w:bookmarkEnd w:id="23"/>
    <w:bookmarkStart w:id="27" w:name="methodology"/>
    <w:p>
      <w:pPr>
        <w:pStyle w:val="Heading2"/>
      </w:pPr>
      <w:r>
        <w:rPr>
          <w:bCs/>
          <w:b/>
        </w:rPr>
        <w:t xml:space="preserve">3. Methodology</w:t>
      </w:r>
    </w:p>
    <w:p>
      <w:pPr>
        <w:pStyle w:val="FirstParagraph"/>
      </w:pPr>
      <w:r>
        <w:t xml:space="preserve">The experimental procedures were conducted in a certified cleanroom laboratory located in the heart of Australia Melbourne. The following materials and methods were employed:</w:t>
      </w:r>
    </w:p>
    <w:bookmarkStart w:id="24" w:name="materials"/>
    <w:p>
      <w:pPr>
        <w:pStyle w:val="Heading3"/>
      </w:pPr>
      <w:r>
        <w:rPr>
          <w:iCs/>
          <w:i/>
        </w:rPr>
        <w:t xml:space="preserve">3.1 Materials</w:t>
      </w:r>
    </w:p>
    <w:p>
      <w:pPr>
        <w:numPr>
          <w:ilvl w:val="0"/>
          <w:numId w:val="1001"/>
        </w:numPr>
        <w:pStyle w:val="Compact"/>
      </w:pPr>
      <w:r>
        <w:rPr>
          <w:bCs/>
          <w:b/>
        </w:rPr>
        <w:t xml:space="preserve">Analyte:</w:t>
      </w:r>
      <w:r>
        <w:t xml:space="preserve"> </w:t>
      </w:r>
      <w:r>
        <w:t xml:space="preserve">Paracetamol 500mg Tablets (Batch No: MEL-2023-X9).</w:t>
      </w:r>
    </w:p>
    <w:p>
      <w:pPr>
        <w:numPr>
          <w:ilvl w:val="0"/>
          <w:numId w:val="1001"/>
        </w:numPr>
        <w:pStyle w:val="Compact"/>
      </w:pPr>
      <w:r>
        <w:rPr>
          <w:bCs/>
          <w:b/>
        </w:rPr>
        <w:t xml:space="preserve">Solvents:</w:t>
      </w:r>
      <w:r>
        <w:t xml:space="preserve">HPLC grade water, Methanol (supplied by Merck KGaA, Darmstadt Germany). All solvents were filtered through a 0.45-micron membrane prior to use.</w:t>
      </w:r>
    </w:p>
    <w:p>
      <w:pPr>
        <w:numPr>
          <w:ilvl w:val="0"/>
          <w:numId w:val="1001"/>
        </w:numPr>
        <w:pStyle w:val="Compact"/>
      </w:pPr>
      <w:r>
        <w:rPr>
          <w:bCs/>
          <w:b/>
        </w:rPr>
        <w:t xml:space="preserve">Reagents:</w:t>
      </w:r>
      <w:r>
        <w:t xml:space="preserve"> </w:t>
      </w:r>
      <w:r>
        <w:t xml:space="preserve">Phosphate buffer solution (pH adjusted to 3.0 using Orthophosphoric acid).</w:t>
      </w:r>
    </w:p>
    <w:p>
      <w:pPr>
        <w:numPr>
          <w:ilvl w:val="0"/>
          <w:numId w:val="1001"/>
        </w:numPr>
        <w:pStyle w:val="Compact"/>
      </w:pPr>
      <w:r>
        <w:t xml:space="preserve">: Agilent Technologies 1260 Infinity II HPLC System equipped with a UV-Vis detector.</w:t>
      </w:r>
    </w:p>
    <w:bookmarkEnd w:id="24"/>
    <w:bookmarkStart w:id="25" w:name="preparation-of-solutions"/>
    <w:p>
      <w:pPr>
        <w:pStyle w:val="Heading3"/>
      </w:pPr>
      <w:r>
        <w:rPr>
          <w:iCs/>
          <w:i/>
        </w:rPr>
        <w:t xml:space="preserve">3.2 Preparation of Solutions</w:t>
      </w:r>
    </w:p>
    <w:p>
      <w:pPr>
        <w:pStyle w:val="FirstParagraph"/>
      </w:pPr>
      <w:r>
        <w:t xml:space="preserve">A standard stock solution was prepared by accurately weighing 50 mg of Paracetamol reference standard and dissolving it in 100 mL of methanol. This was further diluted to create working standards ranging from 5 to 20 µg/mL. For the sample preparation, twenty tablets were weighed and powdered uniformly. An equivalent weight of powder containing approximately 50 mg of Paracetamol was extracted with methanol and sonicated for 15 minutes.</w:t>
      </w:r>
    </w:p>
    <w:bookmarkEnd w:id="25"/>
    <w:bookmarkStart w:id="26" w:name="instrumental-conditions"/>
    <w:p>
      <w:pPr>
        <w:pStyle w:val="Heading3"/>
      </w:pPr>
      <w:r>
        <w:rPr>
          <w:iCs/>
          <w:i/>
        </w:rPr>
        <w:t xml:space="preserve">3.3 Instrumental Conditions</w:t>
      </w:r>
    </w:p>
    <w:p>
      <w:pPr>
        <w:pStyle w:val="FirstParagraph"/>
      </w:pPr>
      <w:r>
        <w:t xml:space="preserve">The HPLC system was operated under the following conditions:</w:t>
      </w:r>
    </w:p>
    <w:p>
      <w:pPr>
        <w:numPr>
          <w:ilvl w:val="0"/>
          <w:numId w:val="1002"/>
        </w:numPr>
        <w:pStyle w:val="Compact"/>
      </w:pPr>
      <w:r>
        <w:rPr>
          <w:bCs/>
          <w:b/>
        </w:rPr>
        <w:t xml:space="preserve">Column:</w:t>
      </w:r>
      <w:r>
        <w:t xml:space="preserve">C18 Reverse-Phase Column (250 mm x 4.6 mm, 5 µm particle size).</w:t>
      </w:r>
    </w:p>
    <w:p>
      <w:pPr>
        <w:numPr>
          <w:ilvl w:val="0"/>
          <w:numId w:val="1002"/>
        </w:numPr>
        <w:pStyle w:val="Compact"/>
      </w:pPr>
      <w:r>
        <w:rPr>
          <w:bCs/>
          <w:b/>
        </w:rPr>
        <w:t xml:space="preserve">Mobile Phase:</w:t>
      </w:r>
      <w:r>
        <w:t xml:space="preserve">: Methanol:Water (60:40 v/v).</w:t>
      </w:r>
    </w:p>
    <w:p>
      <w:pPr>
        <w:numPr>
          <w:ilvl w:val="0"/>
          <w:numId w:val="1002"/>
        </w:numPr>
        <w:pStyle w:val="Compact"/>
      </w:pPr>
      <w:r>
        <w:rPr>
          <w:bCs/>
          <w:b/>
        </w:rPr>
        <w:t xml:space="preserve">Flow Rate:</w:t>
      </w:r>
      <w:r>
        <w:t xml:space="preserve">:1.0 mL/min.</w:t>
      </w:r>
    </w:p>
    <w:p>
      <w:pPr>
        <w:numPr>
          <w:ilvl w:val="0"/>
          <w:numId w:val="1002"/>
        </w:numPr>
        <w:pStyle w:val="Compact"/>
      </w:pPr>
      <w:r>
        <w:rPr>
          <w:bCs/>
          <w:b/>
        </w:rPr>
        <w:t xml:space="preserve">Detection Wavelength:</w:t>
      </w:r>
      <w:r>
        <w:t xml:space="preserve">:243 nm.</w:t>
      </w:r>
    </w:p>
    <w:p>
      <w:pPr>
        <w:numPr>
          <w:ilvl w:val="0"/>
          <w:numId w:val="1002"/>
        </w:numPr>
        <w:pStyle w:val="Compact"/>
      </w:pPr>
      <w:r>
        <w:t xml:space="preserve">: 20 µL.</w:t>
      </w:r>
    </w:p>
    <w:bookmarkEnd w:id="26"/>
    <w:bookmarkEnd w:id="27"/>
    <w:bookmarkStart w:id="28" w:name="results"/>
    <w:p>
      <w:pPr>
        <w:pStyle w:val="Heading2"/>
      </w:pPr>
      <w:r>
        <w:rPr>
          <w:bCs/>
          <w:b/>
        </w:rPr>
        <w:t xml:space="preserve">4. Results</w:t>
      </w:r>
    </w:p>
    <w:p>
      <w:pPr>
        <w:pStyle w:val="FirstParagraph"/>
      </w:pPr>
      <w:r>
        <w:t xml:space="preserve">P&gt;The data obtained from the HPLC analysis is summarized below. The retention time for Paracetamol was observed to be consistent at approximately 5.2 minutes, with no significant impurities detected in the chromatograms.</w:t>
      </w:r>
    </w:p>
    <w:p>
      <w:pPr>
        <w:pStyle w:val="BodyText"/>
      </w:pPr>
      <w:r>
        <w:t xml:space="preserve">41 Assay Results</w:t>
      </w:r>
    </w:p>
    <w:p>
      <w:pPr>
        <w:pStyle w:val="BodyText"/>
      </w:pPr>
      <w:r>
        <w:t xml:space="preserve">P&gt;The assay results determined the amount of active pharmaceutical ingredient (API) present in the tablets.</w:t>
      </w:r>
    </w:p>
    <w:p>
      <w:pPr>
        <w:numPr>
          <w:ilvl w:val="0"/>
          <w:numId w:val="1003"/>
        </w:numPr>
        <w:pStyle w:val="Compact"/>
      </w:pPr>
      <w:r>
        <w:t xml:space="preserve">SPECIFICATION:: 90.0% -110.0% of label claim.</w:t>
      </w:r>
    </w:p>
    <w:p>
      <w:pPr>
        <w:numPr>
          <w:ilvl w:val="0"/>
          <w:numId w:val="1003"/>
        </w:numPr>
        <w:pStyle w:val="Compact"/>
      </w:pPr>
      <w:r>
        <w:rPr>
          <w:bCs/>
          <w:b/>
        </w:rPr>
        <w:t xml:space="preserve">OBSERVED VALUE:</w:t>
      </w:r>
      <w:r>
        <w:t xml:space="preserve">: 98.4% ± 12%</w:t>
      </w:r>
    </w:p>
    <w:p>
      <w:pPr>
        <w:pStyle w:val="FirstParagraph"/>
      </w:pPr>
      <w:r>
        <w:t xml:space="preserve">P&gt;This value falls well within the acceptable limits mandated by the Australian Pharmacopoeia for products sold in Australia Melbourne.</w:t>
      </w:r>
    </w:p>
    <w:p>
      <w:pPr>
        <w:pStyle w:val="BodyText"/>
      </w:pPr>
      <w:r>
        <w:t xml:space="preserve">4.2 Dissolution Testing</w:t>
      </w:r>
    </w:p>
    <w:p>
      <w:pPr>
        <w:pStyle w:val="BodyText"/>
      </w:pPr>
      <w:r>
        <w:t xml:space="preserve">P&gt;Dissolution testing was performed using Apparatus II (Paddle method) at 50 rpm in 900 mL of 0.1 N Hydrochloric Acid at 37°C.</w:t>
      </w:r>
    </w:p>
    <w:p>
      <w:pPr>
        <w:numPr>
          <w:ilvl w:val="0"/>
          <w:numId w:val="1004"/>
        </w:numPr>
        <w:pStyle w:val="Compact"/>
      </w:pPr>
      <w:r>
        <w:t xml:space="preserve">SPECIFICATION:: Not less than Q (85%) in 45 minutes.</w:t>
      </w:r>
    </w:p>
    <w:p>
      <w:pPr>
        <w:numPr>
          <w:ilvl w:val="0"/>
          <w:numId w:val="1004"/>
        </w:numPr>
        <w:pStyle w:val="Compact"/>
      </w:pPr>
      <w:r>
        <w:t xml:space="preserve">OBSERVED VALUE AT 45 MINUTES::92.1%</w:t>
      </w:r>
    </w:p>
    <w:p>
      <w:pPr>
        <w:pStyle w:val="FirstParagraph"/>
      </w:pPr>
      <w:r>
        <w:t xml:space="preserve">P&gt;The dissolution profile indicates that the drug releases effectively from the tablet matrix, ensuring bioavailability for patients in Australia Melbourne.</w:t>
      </w:r>
    </w:p>
    <w:p>
      <w:pPr>
        <w:pStyle w:val="BodyText"/>
      </w:pPr>
      <w:r>
        <w:t xml:space="preserve">4.3 Impurity Profile</w:t>
      </w:r>
    </w:p>
    <w:p>
      <w:pPr>
        <w:pStyle w:val="BodyText"/>
      </w:pPr>
      <w:r>
        <w:t xml:space="preserve">No degradants were observed above the identification threshold of 0.10%. The total impurities were recorded at 0.15%, which is significantly below the limit of 2.5% set by regulatory authorities.</w:t>
      </w:r>
    </w:p>
    <w:bookmarkEnd w:id="28"/>
    <w:bookmarkStart w:id="29" w:name="discussion"/>
    <w:p>
      <w:pPr>
        <w:pStyle w:val="Heading2"/>
      </w:pPr>
      <w:r>
        <w:rPr>
          <w:bCs/>
          <w:b/>
        </w:rPr>
        <w:t xml:space="preserve">5. Discussion</w:t>
      </w:r>
    </w:p>
    <w:p>
      <w:pPr>
        <w:pStyle w:val="FirstParagraph"/>
      </w:pPr>
      <w:r>
        <w:t xml:space="preserve">The results presented in this</w:t>
      </w:r>
      <w:r>
        <w:t xml:space="preserve"> </w:t>
      </w:r>
      <w:r>
        <w:rPr>
          <w:bCs/>
          <w:b/>
        </w:rPr>
        <w:t xml:space="preserve">Lab Report</w:t>
      </w:r>
      <w:r>
        <w:t xml:space="preserve"> </w:t>
      </w:r>
      <w:r>
        <w:t xml:space="preserve">confirm that the Batch MEL-2023-X9 meets all quality attributes required for market release. The consistency of the HPLC retention time and peak area suggests high reproducibility, a key factor for any professional</w:t>
      </w:r>
      <w:r>
        <w:t xml:space="preserve"> </w:t>
      </w:r>
      <w:r>
        <w:rPr>
          <w:bCs/>
          <w:b/>
        </w:rPr>
        <w:t xml:space="preserve">Chemist</w:t>
      </w:r>
      <w:r>
        <w:t xml:space="preserve"> </w:t>
      </w:r>
      <w:r>
        <w:t xml:space="preserve">working in a regulatory environment.</w:t>
      </w:r>
    </w:p>
    <w:p>
      <w:pPr>
        <w:pStyle w:val="BodyText"/>
      </w:pPr>
      <w:r>
        <w:t xml:space="preserve">In the specific context of</w:t>
      </w:r>
      <w:r>
        <w:t xml:space="preserve"> </w:t>
      </w:r>
      <w:r>
        <w:rPr>
          <w:bCs/>
          <w:b/>
        </w:rPr>
        <w:t xml:space="preserve">Australia Melbourne</w:t>
      </w:r>
      <w:r>
        <w:t xml:space="preserve">, where healthcare standards are among the highest globally, such rigorous testing is not merely a formality but a necessity. The Therapeutic Goods Administration (TGA) requires detailed documentation of such analyses to maintain the integrity of the supply chain. The findings herein support the assertion that this product is safe for consumption by the population residing in</w:t>
      </w:r>
      <w:r>
        <w:t xml:space="preserve"> </w:t>
      </w:r>
      <w:r>
        <w:rPr>
          <w:bCs/>
          <w:b/>
        </w:rPr>
        <w:t xml:space="preserve">Australia Melbourne</w:t>
      </w:r>
      <w:r>
        <w:t xml:space="preserve">.</w:t>
      </w:r>
    </w:p>
    <w:p>
      <w:pPr>
        <w:pStyle w:val="BodyText"/>
      </w:pPr>
      <w:r>
        <w:t xml:space="preserve">Furthermore, the discussion highlights the importance of environmental controls in laboratories located in major urban centers like Melbourne. Fluctuations in temperature and humidity can affect dissolution rates; however, our controlled environment mitigated these variables effectively. This underscores the role of a skilled</w:t>
      </w:r>
      <w:r>
        <w:t xml:space="preserve"> </w:t>
      </w:r>
      <w:r>
        <w:rPr>
          <w:bCs/>
          <w:b/>
        </w:rPr>
        <w:t xml:space="preserve">Chemist</w:t>
      </w:r>
      <w:r>
        <w:t xml:space="preserve"> </w:t>
      </w:r>
      <w:r>
        <w:t xml:space="preserve">in managing not just chemical reactions, but the entire analytical ecosystem to ensure data integrity.</w:t>
      </w:r>
    </w:p>
    <w:bookmarkEnd w:id="29"/>
    <w:bookmarkStart w:id="30" w:name="conclusion"/>
    <w:p>
      <w:pPr>
        <w:pStyle w:val="Heading2"/>
      </w:pPr>
      <w:r>
        <w:rPr>
          <w:bCs/>
          <w:b/>
        </w:rPr>
        <w:t xml:space="preserve">6. Conclusion</w:t>
      </w:r>
    </w:p>
    <w:p>
      <w:pPr>
        <w:pStyle w:val="FirstParagraph"/>
      </w:pPr>
      <w:r>
        <w:t xml:space="preserve">In conclusion, this laboratory report demonstrates that the Paracetamol 500mg tablets analyzed are compliant with all relevant pharmacopeial standards and TGA guidelines applicable in</w:t>
      </w:r>
      <w:r>
        <w:t xml:space="preserve"> </w:t>
      </w:r>
      <w:r>
        <w:rPr>
          <w:bCs/>
          <w:b/>
        </w:rPr>
        <w:t xml:space="preserve">Australia Melbourne</w:t>
      </w:r>
      <w:r>
        <w:t xml:space="preserve">. The analytical methods employed by the</w:t>
      </w:r>
      <w:r>
        <w:t xml:space="preserve"> </w:t>
      </w:r>
      <w:r>
        <w:rPr>
          <w:bCs/>
          <w:b/>
        </w:rPr>
        <w:t xml:space="preserve">Chemist</w:t>
      </w:r>
      <w:r>
        <w:t xml:space="preserve"> </w:t>
      </w:r>
      <w:r>
        <w:t xml:space="preserve">proved to be robust and reliable. Based on these findings, it is recommended that this batch be released for distribution within the region.</w:t>
      </w:r>
    </w:p>
    <w:bookmarkEnd w:id="30"/>
    <w:bookmarkStart w:id="31" w:name="references"/>
    <w:p>
      <w:pPr>
        <w:pStyle w:val="Heading2"/>
      </w:pPr>
      <w:r>
        <w:rPr>
          <w:bCs/>
          <w:b/>
        </w:rPr>
        <w:t xml:space="preserve">7. References</w:t>
      </w:r>
    </w:p>
    <w:p>
      <w:pPr>
        <w:numPr>
          <w:ilvl w:val="0"/>
          <w:numId w:val="1005"/>
        </w:numPr>
        <w:pStyle w:val="Compact"/>
      </w:pPr>
      <w:r>
        <w:t xml:space="preserve">Australian Therapeutic Goods Administration (TGA). "Guidelines on Good Manufacturing Practice for Therapeutic Goods."</w:t>
      </w:r>
    </w:p>
    <w:p>
      <w:pPr>
        <w:numPr>
          <w:ilvl w:val="0"/>
          <w:numId w:val="1005"/>
        </w:numPr>
        <w:pStyle w:val="Compact"/>
      </w:pPr>
      <w:r>
        <w:t xml:space="preserve">Federal Register of Legislation, Australia.: "Therapeutic Goods Act 1989."</w:t>
      </w:r>
    </w:p>
    <w:p>
      <w:pPr>
        <w:numPr>
          <w:ilvl w:val="0"/>
          <w:numId w:val="1005"/>
        </w:numPr>
        <w:pStyle w:val="Compact"/>
      </w:pPr>
      <w:r>
        <w:t xml:space="preserve">Pharmacopoeia of the Commonwealth of Australia (AUSP).: "Paracetamol Monograph."</w:t>
      </w:r>
    </w:p>
    <w:bookmarkEnd w:id="31"/>
    <w:bookmarkStart w:id="32" w:name="appendix"/>
    <w:p>
      <w:pPr>
        <w:pStyle w:val="Heading2"/>
      </w:pPr>
      <w:r>
        <w:rPr>
          <w:bCs/>
          <w:b/>
        </w:rPr>
        <w:t xml:space="preserve">8. Appendix</w:t>
      </w:r>
    </w:p>
    <w:p>
      <w:pPr>
        <w:pStyle w:val="FirstParagraph"/>
      </w:pPr>
      <w:r>
        <w:t xml:space="preserve">The raw chromatograms and statistical analysis spreadsheets are attached as supplementary documents for review by the senior management of the laboratory in Australia Melbourne.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Analysis in Australia Melbourne</dc:title>
  <dc:creator/>
  <dc:language>en</dc:language>
  <cp:keywords/>
  <dcterms:created xsi:type="dcterms:W3CDTF">2026-07-29T18:33:14Z</dcterms:created>
  <dcterms:modified xsi:type="dcterms:W3CDTF">2026-07-29T18:33:14Z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