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Belgium</w:t>
      </w:r>
      <w:r>
        <w:t xml:space="preserve"> </w:t>
      </w:r>
      <w:r>
        <w:t xml:space="preserve">Brussels</w:t>
      </w:r>
    </w:p>
    <w:bookmarkStart w:id="20" w:name="X2df6f5a0e631e19efcc0fe78265797478c0e0bd"/>
    <w:p>
      <w:pPr>
        <w:pStyle w:val="Heading1"/>
      </w:pPr>
      <w:r>
        <w:t xml:space="preserve">Laboratory Report on Chemical Analysis and Environmental Compliance</w:t>
      </w:r>
    </w:p>
    <w:p>
      <w:pPr>
        <w:pStyle w:val="FirstParagraph"/>
      </w:pPr>
      <w:r>
        <w:rPr>
          <w:bCs/>
          <w:b/>
        </w:rPr>
        <w:t xml:space="preserve">Jurisdiction:</w:t>
      </w:r>
      <w:r>
        <w:t xml:space="preserve"> </w:t>
      </w:r>
      <w:r>
        <w:t xml:space="preserve">Belgium Brussels Capital Region</w:t>
      </w:r>
      <w:r>
        <w:br/>
      </w:r>
      <w:r>
        <w:rPr>
          <w:bCs/>
          <w:b/>
        </w:rPr>
        <w:t xml:space="preserve">Date of Issue:</w:t>
      </w:r>
      <w:r>
        <w:t xml:space="preserve"> </w:t>
      </w:r>
      <w:r>
        <w:t xml:space="preserve">October 24, 2023</w:t>
      </w:r>
      <w:r>
        <w:br/>
      </w:r>
      <w:r>
        <w:rPr>
          <w:bCs/>
          <w:b/>
        </w:rPr>
        <w:t xml:space="preserve">Status:</w:t>
      </w:r>
      <w:r>
        <w:t xml:space="preserve"> </w:t>
      </w:r>
      <w:r>
        <w:t xml:space="preserve">Final Certified Document</w:t>
      </w:r>
    </w:p>
    <w:bookmarkEnd w:id="20"/>
    <w:bookmarkStart w:id="21" w:name="X1b438fa70c11788ce42bc29fc303c3b6e4ec8c7"/>
    <w:p>
      <w:pPr>
        <w:pStyle w:val="Heading3"/>
      </w:pPr>
      <w:r>
        <w:t xml:space="preserve">Laboratory Identification and Reference Information</w:t>
      </w:r>
    </w:p>
    <w:p>
      <w:pPr>
        <w:pStyle w:val="FirstParagraph"/>
      </w:pPr>
      <w:r>
        <w:rPr>
          <w:bCs/>
          <w:b/>
        </w:rPr>
        <w:t xml:space="preserve">Laboratory Name:</w:t>
      </w:r>
      <w:r>
        <w:t xml:space="preserve"> </w:t>
      </w:r>
      <w:r>
        <w:t xml:space="preserve">EuroChem Brussels Central Analysis Unit</w:t>
      </w:r>
      <w:r>
        <w:br/>
      </w:r>
      <w:r>
        <w:rPr>
          <w:bCs/>
          <w:b/>
        </w:rPr>
        <w:t xml:space="preserve">Laboratory Address:</w:t>
      </w:r>
      <w:r>
        <w:t xml:space="preserve"> </w:t>
      </w:r>
      <w:r>
        <w:rPr>
          <w:bCs/>
          <w:b/>
        </w:rPr>
        <w:t xml:space="preserve">Laboratory Accreditation (ISO/IEC 17025):</w:t>
      </w:r>
      <w:r>
        <w:t xml:space="preserve"> </w:t>
      </w:r>
      <w:r>
        <w:t xml:space="preserve">BELASCO Ref. No. BE-234-X</w:t>
      </w:r>
      <w:r>
        <w:br/>
      </w:r>
      <w:r>
        <w:rPr>
          <w:bCs/>
          <w:b/>
        </w:rPr>
        <w:t xml:space="preserve">Client Name:</w:t>
      </w:r>
      <w:r>
        <w:t xml:space="preserve"> </w:t>
      </w:r>
      <w:r>
        <w:t xml:space="preserve">GreenTech Industries NV/SA</w:t>
      </w:r>
      <w:r>
        <w:br/>
      </w:r>
      <w:r>
        <w:rPr>
          <w:bCs/>
          <w:b/>
        </w:rPr>
        <w:t xml:space="preserve">Patient/Sample ID:</w:t>
      </w:r>
      <w:r>
        <w:t xml:space="preserve"> </w:t>
      </w:r>
      <w:r>
        <w:t xml:space="preserve">BRU-WATER-2023-889</w:t>
      </w:r>
      <w:r>
        <w:br/>
      </w:r>
      <w:r>
        <w:rPr>
          <w:bCs/>
          <w:b/>
        </w:rPr>
        <w:t xml:space="preserve">Date of Sampling:</w:t>
      </w:r>
      <w:r>
        <w:t xml:space="preserve"> </w:t>
      </w:r>
      <w:r>
        <w:t xml:space="preserve">October 10, 2023</w:t>
      </w:r>
      <w:r>
        <w:br/>
      </w:r>
      <w:r>
        <w:rPr>
          <w:bCs/>
          <w:b/>
        </w:rPr>
        <w:t xml:space="preserve">Date of Analysis Completion:</w:t>
      </w:r>
      <w:r>
        <w:t xml:space="preserve"> </w:t>
      </w:r>
      <w:r>
        <w:t xml:space="preserve">October 15, 2023</w:t>
      </w:r>
    </w:p>
    <w:bookmarkEnd w:id="21"/>
    <w:bookmarkStart w:id="22" w:name="X2e4cc3729ff8757ce58e89f74442954b823da3d"/>
    <w:p>
      <w:pPr>
        <w:pStyle w:val="Heading2"/>
      </w:pPr>
      <w:r>
        <w:t xml:space="preserve">1.</w:t>
      </w:r>
      <w:r>
        <w:t xml:space="preserve"> </w:t>
      </w:r>
      <w:r>
        <w:t xml:space="preserve">Executive Summary and Contextual Relevance</w:t>
      </w:r>
    </w:p>
    <w:p>
      <w:pPr>
        <w:pStyle w:val="FirstParagraph"/>
      </w:pPr>
      <w:r>
        <w:t xml:space="preserve">This comprehensive laboratory report serves as a critical document for regulatory compliance within the specific geographical and legal framework of Belgium Brussels. The primary objective of this analysis was to evaluate the chemical integrity of water samples collected from an industrial effluent discharge point situated within the Brussels-Capital Region. Given that Belgium Brussels is not only a political hub for European institutions but also a densely populated metropolitan area, strict adherence to environmental chemistry standards is paramount.</w:t>
      </w:r>
    </w:p>
    <w:p>
      <w:pPr>
        <w:pStyle w:val="BodyText"/>
      </w:pPr>
      <w:r>
        <w:t xml:space="preserve">The term "Chemist" in this context refers to the specialized scientific professionals who conducted these analyses. Their expertise was pivotal in ensuring that every reaction, titration, and spectroscopic measurement met the rigorous demands of the Brussels Environment agency regulations. This report details the methodologies employed, presenting data that reflects the precise chemical composition of the samples under investigation.</w:t>
      </w:r>
    </w:p>
    <w:bookmarkEnd w:id="22"/>
    <w:bookmarkStart w:id="23" w:name="introduction-and-objectives"/>
    <w:p>
      <w:pPr>
        <w:pStyle w:val="Heading2"/>
      </w:pPr>
      <w:r>
        <w:t xml:space="preserve">2.</w:t>
      </w:r>
      <w:r>
        <w:t xml:space="preserve"> </w:t>
      </w:r>
      <w:r>
        <w:t xml:space="preserve">Introduction and Objectives</w:t>
      </w:r>
    </w:p>
    <w:p>
      <w:pPr>
        <w:pStyle w:val="FirstParagraph"/>
      </w:pPr>
      <w:r>
        <w:t xml:space="preserve">The scope of this laboratory report is defined by the need to monitor heavy metal concentrations and pH variability in wastewater before it enters the main sewerage system managed by Brussels Water (SWDE). The presence of specific chemical contaminants poses significant risks to both public health and aquatic ecosystems. Therefore, the role of a qualified Chemist extends beyond mere data collection; it involves interpreting complex chemical interactions within the unique regulatory landscape of Belgium Brussels.</w:t>
      </w:r>
    </w:p>
    <w:p>
      <w:pPr>
        <w:pStyle w:val="BodyText"/>
      </w:pPr>
      <w:r>
        <w:t xml:space="preserve">The objectives were threefold:</w:t>
      </w:r>
    </w:p>
    <w:p>
      <w:pPr>
        <w:numPr>
          <w:ilvl w:val="0"/>
          <w:numId w:val="1001"/>
        </w:numPr>
        <w:pStyle w:val="Compact"/>
      </w:pPr>
      <w:r>
        <w:t xml:space="preserve">To quantify trace levels of Lead (Pb), Cadmium (Cd), and Mercury (Hg).</w:t>
      </w:r>
    </w:p>
    <w:p>
      <w:pPr>
        <w:numPr>
          <w:ilvl w:val="0"/>
          <w:numId w:val="1001"/>
        </w:numPr>
        <w:pStyle w:val="Compact"/>
      </w:pPr>
      <w:r>
        <w:t xml:space="preserve">To assess the pH stability and alkalinity buffers present in the sample matrix.</w:t>
      </w:r>
    </w:p>
    <w:p>
      <w:pPr>
        <w:numPr>
          <w:ilvl w:val="0"/>
          <w:numId w:val="1001"/>
        </w:numPr>
        <w:pStyle w:val="Compact"/>
      </w:pPr>
      <w:r>
        <w:t xml:space="preserve">To compare findings against the limit values set by Belgian federal laws adapted for implementation in Belgium Brussels.</w:t>
      </w:r>
    </w:p>
    <w:bookmarkEnd w:id="23"/>
    <w:bookmarkStart w:id="26" w:name="methodology-and-chemical-procedures"/>
    <w:p>
      <w:pPr>
        <w:pStyle w:val="Heading2"/>
      </w:pPr>
      <w:r>
        <w:t xml:space="preserve">3.</w:t>
      </w:r>
      <w:r>
        <w:t xml:space="preserve"> </w:t>
      </w:r>
      <w:r>
        <w:t xml:space="preserve">Methodology and Chemical Procedures</w:t>
      </w:r>
    </w:p>
    <w:p>
      <w:pPr>
        <w:pStyle w:val="FirstParagraph"/>
      </w:pPr>
      <w:r>
        <w:t xml:space="preserve">The analytical procedures described herein were executed by senior Chemists holding accredited qualifications. The laboratory utilized Inductively Coupled Plasma Mass Spectrometry (ICP-MS) for the detection of heavy metals due to its high sensitivity and ability to detect multiple elements simultaneously at parts-per-billion levels.</w:t>
      </w:r>
    </w:p>
    <w:bookmarkStart w:id="24" w:name="sample-preservation-and-handling"/>
    <w:p>
      <w:pPr>
        <w:pStyle w:val="Heading3"/>
      </w:pPr>
      <w:r>
        <w:t xml:space="preserve">3.1 Sample Preservation and Handling</w:t>
      </w:r>
    </w:p>
    <w:p>
      <w:pPr>
        <w:pStyle w:val="FirstParagraph"/>
      </w:pPr>
      <w:r>
        <w:t xml:space="preserve">In accordance with standard protocols applicable in Belgium Brussels, samples were collected in pre-cleaned HDPE containers and preserved with nitric acid (HNO</w:t>
      </w:r>
      <w:r>
        <w:rPr>
          <w:vertAlign w:val="subscript"/>
        </w:rPr>
        <w:t xml:space="preserve">3</w:t>
      </w:r>
      <w:r>
        <w:t xml:space="preserve">) to maintain a pH below 2. This step is crucial for preventing the precipitation of metals, ensuring that the chemical state of the analytes remains unchanged from the moment of sampling in Belgium Brussels until analysis.</w:t>
      </w:r>
    </w:p>
    <w:bookmarkEnd w:id="24"/>
    <w:bookmarkStart w:id="25" w:name="analytical-techniques"/>
    <w:p>
      <w:pPr>
        <w:pStyle w:val="Heading3"/>
      </w:pPr>
      <w:r>
        <w:t xml:space="preserve">3.2 Analytical Techniques</w:t>
      </w:r>
    </w:p>
    <w:p>
      <w:pPr>
        <w:pStyle w:val="FirstParagraph"/>
      </w:pPr>
      <w:r>
        <w:t xml:space="preserve">The Chemist involved in this study calibrated all instrumentation using certified reference materials traceable to international standards. For pH measurement, a standardized glass electrode system was used, calibrated with buffer solutions at pH 4.01, 7.00, and 10.01.</w:t>
      </w:r>
    </w:p>
    <w:bookmarkEnd w:id="25"/>
    <w:bookmarkEnd w:id="26"/>
    <w:bookmarkStart w:id="28" w:name="results-and-data-analysis"/>
    <w:p>
      <w:pPr>
        <w:pStyle w:val="Heading2"/>
      </w:pPr>
      <w:r>
        <w:t xml:space="preserve">4.</w:t>
      </w:r>
      <w:r>
        <w:t xml:space="preserve"> </w:t>
      </w:r>
      <w:r>
        <w:t xml:space="preserve">Results and Data Analysis</w:t>
      </w:r>
    </w:p>
    <w:p>
      <w:pPr>
        <w:pStyle w:val="FirstParagraph"/>
      </w:pPr>
      <w:r>
        <w:t xml:space="preserve">The following table presents the analytical results derived from the laboratory report. These figures represent the mean values of triplicate measurements to ensure statistical validity.</w:t>
      </w:r>
    </w:p>
    <w:p>
      <w:pPr>
        <w:pStyle w:val="BodyText"/>
      </w:pPr>
      <w:r>
        <w:t xml:space="preserve">Analyte</w:t>
      </w:r>
    </w:p>
    <w:p>
      <w:pPr>
        <w:pStyle w:val="BodyText"/>
      </w:pPr>
      <w:r>
        <w:t xml:space="preserve">Detection Method</w:t>
      </w:r>
    </w:p>
    <w:p>
      <w:pPr>
        <w:pStyle w:val="BodyText"/>
      </w:pPr>
      <w:r>
        <w:t xml:space="preserve">Detectable Limit (mg/L)</w:t>
      </w:r>
    </w:p>
    <w:p>
      <w:pPr>
        <w:pStyle w:val="BodyText"/>
      </w:pPr>
      <w:r>
        <w:t xml:space="preserve">Average Concentration Found (mg/L)</w:t>
      </w:r>
    </w:p>
    <w:p>
      <w:pPr>
        <w:pStyle w:val="BodyText"/>
      </w:pPr>
      <w:r>
        <w:t xml:space="preserve">pH Level</w:t>
      </w:r>
    </w:p>
    <w:p>
      <w:pPr>
        <w:pStyle w:val="BodyText"/>
      </w:pPr>
      <w:r>
        <w:t xml:space="preserve">Potentiometry</w:t>
      </w:r>
    </w:p>
    <w:p>
      <w:pPr>
        <w:pStyle w:val="BodyText"/>
      </w:pPr>
      <w:r>
        <w:t xml:space="preserve">N/A</w:t>
      </w:r>
    </w:p>
    <w:p>
      <w:pPr>
        <w:pStyle w:val="BodyText"/>
      </w:pPr>
      <w:r>
        <w:t xml:space="preserve">7.24 ± 0.05</w:t>
      </w:r>
      <w:r>
        <w:br/>
      </w:r>
    </w:p>
    <w:p>
      <w:pPr>
        <w:pStyle w:val="BodyText"/>
      </w:pPr>
      <w:r>
        <w:t xml:space="preserve">Heavy Metal Analysis (Trace Elements)</w:t>
      </w:r>
    </w:p>
    <w:p>
      <w:pPr>
        <w:pStyle w:val="BodyText"/>
      </w:pPr>
      <w:r>
        <w:br/>
      </w:r>
    </w:p>
    <w:p>
      <w:pPr>
        <w:pStyle w:val="BodyText"/>
      </w:pPr>
      <w:r>
        <w:t xml:space="preserve">Analyte</w:t>
      </w:r>
    </w:p>
    <w:p>
      <w:pPr>
        <w:pStyle w:val="BodyText"/>
      </w:pPr>
      <w:r>
        <w:t xml:space="preserve">Analyte</w:t>
      </w:r>
    </w:p>
    <w:p>
      <w:pPr>
        <w:pStyle w:val="BodyText"/>
      </w:pPr>
      <w:r>
        <w:t xml:space="preserve">Detection Method</w:t>
      </w:r>
    </w:p>
    <w:p>
      <w:pPr>
        <w:pStyle w:val="BodyText"/>
      </w:pPr>
      <w:r>
        <w:t xml:space="preserve">Detectable Limit (mg/L)</w:t>
      </w:r>
    </w:p>
    <w:p>
      <w:pPr>
        <w:pStyle w:val="BodyText"/>
      </w:pPr>
      <w:r>
        <w:rPr>
          <w:bCs/>
          <w:b/>
        </w:rPr>
        <w:t xml:space="preserve">Average Concentration Found (mg/L)</w:t>
      </w:r>
      <w:r>
        <w:br/>
      </w:r>
    </w:p>
    <w:p>
      <w:pPr>
        <w:pStyle w:val="BodyText"/>
      </w:pPr>
      <w:r>
        <w:t xml:space="preserve">Lead (Pb) ICP-MS 0.05 1.2 x 10^-3</w:t>
      </w:r>
      <w:r>
        <w:br/>
      </w:r>
    </w:p>
    <w:p>
      <w:pPr>
        <w:pStyle w:val="BodyText"/>
      </w:pPr>
      <w:r>
        <w:br/>
      </w:r>
    </w:p>
    <w:p>
      <w:pPr>
        <w:pStyle w:val="BodyText"/>
      </w:pPr>
      <w:r>
        <w:t xml:space="preserve">*(Note: The above table structure contains HTML formatting artifacts for demonstration of layout, but represents the data clearly below in clean format)*</w:t>
      </w:r>
    </w:p>
    <w:p>
      <w:pPr>
        <w:pStyle w:val="BodyText"/>
      </w:pPr>
      <w:r>
        <w:rPr>
          <w:bCs/>
          <w:b/>
        </w:rPr>
        <w:t xml:space="preserve">Cleaned Data Presentation:</w:t>
      </w:r>
    </w:p>
    <w:p>
      <w:pPr>
        <w:numPr>
          <w:ilvl w:val="0"/>
          <w:numId w:val="1002"/>
        </w:numPr>
        <w:pStyle w:val="Compact"/>
      </w:pPr>
      <w:r>
        <w:rPr>
          <w:bCs/>
          <w:b/>
        </w:rPr>
        <w:t xml:space="preserve">pH Level:</w:t>
      </w:r>
      <w:r>
        <w:t xml:space="preserve"> </w:t>
      </w:r>
      <w:r>
        <w:t xml:space="preserve">7.24 ± 0.05 (Method: Potentiometry)</w:t>
      </w:r>
    </w:p>
    <w:p>
      <w:pPr>
        <w:numPr>
          <w:ilvl w:val="0"/>
          <w:numId w:val="1002"/>
        </w:numPr>
        <w:pStyle w:val="Compact"/>
      </w:pPr>
      <w:r>
        <w:rPr>
          <w:bCs/>
          <w:b/>
        </w:rPr>
        <w:t xml:space="preserve">Average Concentration Found (mg/L) Lead (Pb):</w:t>
      </w:r>
      <w:r>
        <w:t xml:space="preserve"> </w:t>
      </w:r>
      <w:r>
        <w:t xml:space="preserve">Method ICP-MS, Detectable Limit 0.05 mg/L, Average Concentration Found: 1.2 x 10^-3 mg/L.</w:t>
      </w:r>
    </w:p>
    <w:bookmarkStart w:id="27" w:name="interpretation-of-results"/>
    <w:p>
      <w:pPr>
        <w:pStyle w:val="Heading3"/>
      </w:pPr>
      <w:r>
        <w:t xml:space="preserve">4.1 Interpretation of Results</w:t>
      </w:r>
    </w:p>
    <w:p>
      <w:pPr>
        <w:pStyle w:val="FirstParagraph"/>
      </w:pPr>
      <w:r>
        <w:t xml:space="preserve">The Chemist reviewing these results notes that all detected heavy metal concentrations are significantly below the maximum allowable limits established for discharge into public sewers in Belgium Brussels. The pH level is within the neutral range, indicating effective buffering capacity in the industrial process, which minimizes corrosive potential to municipal infrastructure. This data confirms that the chemical treatment processes employed by GreenTech Industries are functioning as designed.</w:t>
      </w:r>
    </w:p>
    <w:bookmarkEnd w:id="27"/>
    <w:bookmarkEnd w:id="28"/>
    <w:bookmarkStart w:id="29" w:name="X742ddc420ee5a5b69fba0d1d053b5b7a66a147e"/>
    <w:p>
      <w:pPr>
        <w:pStyle w:val="Heading2"/>
      </w:pPr>
      <w:r>
        <w:t xml:space="preserve">5.</w:t>
      </w:r>
      <w:r>
        <w:t xml:space="preserve"> </w:t>
      </w:r>
      <w:r>
        <w:t xml:space="preserve">Discussion on Regulatory Compliance in Belgium Brussels</w:t>
      </w:r>
    </w:p>
    <w:p>
      <w:pPr>
        <w:pStyle w:val="FirstParagraph"/>
      </w:pPr>
      <w:r>
        <w:t xml:space="preserve">The intersection of chemistry and regulation is critical in this laboratory report. In Belgium Brussels, environmental standards are governed by a complex interplay of Flemish, Walloon, and Regional regulations due to the country's federal structure. However, for urban waste management within the capital region specific directives apply.</w:t>
      </w:r>
    </w:p>
    <w:p>
      <w:pPr>
        <w:pStyle w:val="BodyText"/>
      </w:pPr>
      <w:r>
        <w:t xml:space="preserve">The role of the Chemist here is not only to provide data but to interpret that data through the lens of local compliance. The findings in this report demonstrate adherence to Article 1048 of the Royal Decree regarding sewage discharge. By confirming that chemical pollutants do not exceed threshold values, this document facilitates continued operational licensing for client facilities within Belgium Brussels.</w:t>
      </w:r>
    </w:p>
    <w:p>
      <w:pPr>
        <w:pStyle w:val="BodyText"/>
      </w:pPr>
      <w:r>
        <w:t xml:space="preserve">Furthermore, the precision required by a professional Chemist ensures that any potential anomalies are caught early. For instance, if Lead levels had approached 0.5 mg/L (the regulatory limit in many contexts), immediate remediation strategies would have been recommended to protect the biodiversity of the Senne River ecosystem, which runs through Belgium Brussels.</w:t>
      </w:r>
    </w:p>
    <w:bookmarkEnd w:id="29"/>
    <w:bookmarkStart w:id="30" w:name="limitations-and-uncertainty"/>
    <w:p>
      <w:pPr>
        <w:pStyle w:val="Heading2"/>
      </w:pPr>
      <w:r>
        <w:t xml:space="preserve">6.</w:t>
      </w:r>
      <w:r>
        <w:t xml:space="preserve"> </w:t>
      </w:r>
      <w:r>
        <w:t xml:space="preserve">Limitations and Uncertainty</w:t>
      </w:r>
    </w:p>
    <w:p>
      <w:pPr>
        <w:pStyle w:val="FirstParagraph"/>
      </w:pPr>
      <w:r>
        <w:t xml:space="preserve">All laboratory reports must account for measurement uncertainty. In this instance, an expanded uncertainty of 5% was calculated with a coverage factor (k=2), providing a confidence interval of approximately 95%. While the results are robust, it is important to note that sampling errors inherent in field collection can occasionally introduce variables outside the control of the laboratory Chemist. However, chain-of-custody protocols followed strictly for samples originating in Belgium Brussels mitigate these risks.</w:t>
      </w:r>
    </w:p>
    <w:bookmarkEnd w:id="30"/>
    <w:bookmarkStart w:id="31" w:name="conclusion"/>
    <w:p>
      <w:pPr>
        <w:pStyle w:val="Heading2"/>
      </w:pPr>
      <w:r>
        <w:t xml:space="preserve">7.</w:t>
      </w:r>
      <w:r>
        <w:t xml:space="preserve"> </w:t>
      </w:r>
      <w:r>
        <w:t xml:space="preserve">Conclusion</w:t>
      </w:r>
    </w:p>
    <w:p>
      <w:pPr>
        <w:pStyle w:val="FirstParagraph"/>
      </w:pPr>
      <w:r>
        <w:t xml:space="preserve">This laboratory report conclusively demonstrates that the water sample analyzed meets all chemical safety standards required for disposal within the municipal system of Belgium Brussels. The meticulous work performed by our team of Chemists ensures that regulatory obligations are met and environmental integrity is preserved. The data supports a clean bill of health regarding chemical contaminants, reinforcing the commitment to sustainable industrial practices in the heart of Europe.</w:t>
      </w:r>
    </w:p>
    <w:p>
      <w:pPr>
        <w:pStyle w:val="BodyText"/>
      </w:pPr>
      <w:r>
        <w:t xml:space="preserve">We recommend routine quarterly monitoring to maintain this compliance status, as chemical profiles can shift with seasonal variations in industrial output or upstream contributions within Belgium Brussels.</w:t>
      </w:r>
    </w:p>
    <w:bookmarkEnd w:id="31"/>
    <w:bookmarkStart w:id="32" w:name="signatures-and-authorization"/>
    <w:p>
      <w:pPr>
        <w:pStyle w:val="Heading2"/>
      </w:pPr>
      <w:r>
        <w:t xml:space="preserve">8.</w:t>
      </w:r>
      <w:r>
        <w:t xml:space="preserve"> </w:t>
      </w:r>
      <w:r>
        <w:t xml:space="preserve">Signatures and Authorization</w:t>
      </w:r>
    </w:p>
    <w:p>
      <w:pPr>
        <w:pStyle w:val="FirstParagraph"/>
      </w:pPr>
      <w:r>
        <w:rPr>
          <w:bCs/>
          <w:b/>
        </w:rPr>
        <w:t xml:space="preserve">Laboratory Director:</w:t>
      </w:r>
    </w:p>
    <w:p>
      <w:pPr>
        <w:pStyle w:val="BodyText"/>
      </w:pPr>
      <w:r>
        <w:t xml:space="preserve">Dr. Jean-Pierre Dubois, PhD in Analytical Chemistry</w:t>
      </w:r>
      <w:r>
        <w:br/>
      </w:r>
      <w:r>
        <w:t xml:space="preserve">Licensed in Belgium Brussels</w:t>
      </w:r>
    </w:p>
    <w:p>
      <w:pPr>
        <w:pStyle w:val="BodyText"/>
      </w:pPr>
      <w:r>
        <w:br/>
      </w:r>
    </w:p>
    <w:p>
      <w:pPr>
        <w:pStyle w:val="BodyText"/>
      </w:pPr>
      <w:r>
        <w:rPr>
          <w:bCs/>
          <w:b/>
        </w:rPr>
        <w:t xml:space="preserve">Lead Chemist:</w:t>
      </w:r>
    </w:p>
    <w:p>
      <w:pPr>
        <w:pStyle w:val="BodyText"/>
      </w:pPr>
      <w:r>
        <w:t xml:space="preserve">Sarah Vermeulen, MSc Environmental Chemistry</w:t>
      </w:r>
      <w:r>
        <w:br/>
      </w:r>
      <w:r>
        <w:t xml:space="preserve">Accreditation ID: CH-BRU-992</w:t>
      </w:r>
    </w:p>
    <w:p>
      <w:pPr>
        <w:pStyle w:val="BodyText"/>
      </w:pPr>
      <w:r>
        <w:br/>
      </w:r>
      <w:r>
        <w:br/>
      </w:r>
    </w:p>
    <w:p>
      <w:pPr>
        <w:pStyle w:val="BodyText"/>
      </w:pPr>
      <w:r>
        <w:t xml:space="preserve">Dr. Jean-Pierre Dubois</w:t>
      </w:r>
    </w:p>
    <w:p>
      <w:pPr>
        <w:pStyle w:val="BodyText"/>
      </w:pPr>
      <w:r>
        <w:rPr>
          <w:iCs/>
          <w:i/>
        </w:rPr>
        <w:t xml:space="preserve">This document is electronically signed and valid in Belgium Brussels.</w:t>
      </w:r>
    </w:p>
    <w:p>
      <w:pPr>
        <w:pStyle w:val="BodyText"/>
      </w:pPr>
      <w:r>
        <w:rPr>
          <w:bCs/>
          <w:b/>
        </w:rPr>
        <w:t xml:space="preserve">Note:</w:t>
      </w:r>
      <w:r>
        <w:t xml:space="preserve"> </w:t>
      </w:r>
      <w:r>
        <w:t xml:space="preserve">This laboratory report was generated using automated systems but reviewed manually by qualified Chemists. Any discrepancies must be reported within seven days of receipt to ensure regulatory validity in Belgium Brussels.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Chemical Analysis and Regulatory Compliance in Belgium Brussels</dc:title>
  <dc:creator/>
  <dc:language>en</dc:language>
  <cp:keywords/>
  <dcterms:created xsi:type="dcterms:W3CDTF">2026-07-29T02:46:11Z</dcterms:created>
  <dcterms:modified xsi:type="dcterms:W3CDTF">2026-07-29T02:46:11Z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