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Analysis</w:t>
      </w:r>
      <w:r>
        <w:t xml:space="preserve"> </w:t>
      </w:r>
      <w:r>
        <w:t xml:space="preserve">Services</w:t>
      </w:r>
      <w:r>
        <w:t xml:space="preserve"> </w:t>
      </w:r>
      <w:r>
        <w:t xml:space="preserve">in</w:t>
      </w:r>
      <w:r>
        <w:t xml:space="preserve"> </w:t>
      </w:r>
      <w:r>
        <w:t xml:space="preserve">Germany,</w:t>
      </w:r>
      <w:r>
        <w:t xml:space="preserve"> </w:t>
      </w:r>
      <w:r>
        <w:t xml:space="preserve">Berlin</w:t>
      </w:r>
    </w:p>
    <w:bookmarkStart w:id="20" w:name="Xf398e65ec643922e3a217bbb4c8caa599a8da3b"/>
    <w:p>
      <w:pPr>
        <w:pStyle w:val="Heading1"/>
      </w:pPr>
      <w:r>
        <w:t xml:space="preserve">Laboratory Report on Chemist Services and Compliance Standards</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Germany, Berlin</w:t>
      </w:r>
      <w:r>
        <w:br/>
      </w:r>
      <w:r>
        <w:rPr>
          <w:bCs/>
          <w:b/>
        </w:rPr>
        <w:t xml:space="preserve">To:</w:t>
      </w:r>
      <w:r>
        <w:t xml:space="preserve"> </w:t>
      </w:r>
      <w:r>
        <w:t xml:space="preserve">Regional Health Authorities and Industrial Clients</w:t>
      </w:r>
    </w:p>
    <w:bookmarkEnd w:id="20"/>
    <w:bookmarkStart w:id="21" w:name="introduction-and-scope"/>
    <w:p>
      <w:pPr>
        <w:pStyle w:val="Heading2"/>
      </w:pPr>
      <w:r>
        <w:t xml:space="preserve">1. Introduction and Scope</w:t>
      </w:r>
    </w:p>
    <w:p>
      <w:pPr>
        <w:pStyle w:val="FirstParagraph"/>
      </w:pPr>
      <w:r>
        <w:t xml:space="preserve">This comprehensive laboratory report serves as a critical documentation of the analytical procedures, safety protocols, and regulatory compliance measures currently employed by certified chemist facilities within the jurisdiction of Germany, specifically focusing on the unique environmental and industrial landscape of Berlin. As Berlin continues to solidify its reputation as a hub for scientific innovation in Europe, the role of rigorous chemical analysis cannot be overstated. The primary objective of this document is to outline how modern laboratory practices align with both local German regulations and broader European Union directives.</w:t>
      </w:r>
    </w:p>
    <w:p>
      <w:pPr>
        <w:pStyle w:val="BodyText"/>
      </w:pPr>
      <w:r>
        <w:t xml:space="preserve">The term "Chemist" in this context refers not only to the pharmaceutical professionals but also to industrial chemists, environmental analysts, and materials scientists who operate within Berlin’s diverse array of research institutions, pharmaceutical manufacturing plants, and environmental monitoring stations. This report details the operational framework that ensures these professionals deliver accurate, reliable data while maintaining the highest standards of safety.</w:t>
      </w:r>
    </w:p>
    <w:bookmarkEnd w:id="21"/>
    <w:bookmarkStart w:id="22" w:name="regulatory-framework-in-germany"/>
    <w:p>
      <w:pPr>
        <w:pStyle w:val="Heading2"/>
      </w:pPr>
      <w:r>
        <w:t xml:space="preserve">2. Regulatory Framework in Germany</w:t>
      </w:r>
    </w:p>
    <w:p>
      <w:pPr>
        <w:pStyle w:val="FirstParagraph"/>
      </w:pPr>
      <w:r>
        <w:t xml:space="preserve">The operations of any chemist facility in Berlin are strictly governed by a complex web of national and international regulations. In Germany, the primary legislation governing chemical substances is the Chemicals Act (Chemikaliengesetz) and its associated ordinance, the Dangerous Substances Ordinance (Gefahrstoffverordnung). These laws mandate stringent handling procedures for hazardous materials to protect both human health and the environment.</w:t>
      </w:r>
    </w:p>
    <w:p>
      <w:pPr>
        <w:pStyle w:val="BodyText"/>
      </w:pPr>
      <w:r>
        <w:t xml:space="preserve">Furthermore, as a member state of the European Union, Germany adheres to REACH (Registration, Evaluation, Authorisation and Restriction of Chemicals). This regulation places a significant burden of proof on manufacturers and importers to manage risks related to chemicals. For chemists working in Berlin laboratories, this means that every batch analyzed must be traceable back through the entire supply chain. The laboratory report format itself is designed to facilitate this transparency, ensuring that every data point can be audited against REACH standards.</w:t>
      </w:r>
    </w:p>
    <w:bookmarkEnd w:id="22"/>
    <w:bookmarkStart w:id="23" w:name="X1dbfa96730f10ba07526aaad2eb64075f1bb375"/>
    <w:p>
      <w:pPr>
        <w:pStyle w:val="Heading2"/>
      </w:pPr>
      <w:r>
        <w:t xml:space="preserve">3. Environmental Considerations Specific to Berlin</w:t>
      </w:r>
    </w:p>
    <w:p>
      <w:pPr>
        <w:pStyle w:val="FirstParagraph"/>
      </w:pPr>
      <w:r>
        <w:t xml:space="preserve">Berlin presents unique environmental challenges that directly influence the work of chemists. The city’s historical industrial legacy has left behind sites requiring extensive soil and groundwater remediation. Consequently, a significant portion of chemical analysis in Berlin focuses on environmental forensics and pollution monitoring.</w:t>
      </w:r>
    </w:p>
    <w:p>
      <w:pPr>
        <w:numPr>
          <w:ilvl w:val="0"/>
          <w:numId w:val="1001"/>
        </w:numPr>
        <w:pStyle w:val="Compact"/>
      </w:pPr>
      <w:r>
        <w:rPr>
          <w:bCs/>
          <w:b/>
        </w:rPr>
        <w:t xml:space="preserve">Soil Analysis:</w:t>
      </w:r>
      <w:r>
        <w:t xml:space="preserve"> </w:t>
      </w:r>
      <w:r>
        <w:t xml:space="preserve">Chemists frequently conduct tests for heavy metals, polycyclic aromatic hydrocarbons (PAHs), and chlorinated solvents in brownfield sites undergoing redevelopment.</w:t>
      </w:r>
    </w:p>
    <w:p>
      <w:pPr>
        <w:numPr>
          <w:ilvl w:val="0"/>
          <w:numId w:val="1001"/>
        </w:numPr>
        <w:pStyle w:val="Compact"/>
      </w:pPr>
      <w:r>
        <w:rPr>
          <w:bCs/>
          <w:b/>
        </w:rPr>
        <w:t xml:space="preserve">Air Quality Monitoring:</w:t>
      </w:r>
      <w:r>
        <w:t xml:space="preserve"> </w:t>
      </w:r>
      <w:r>
        <w:t xml:space="preserve">With Berlin’s dense urban population, monitoring nitrogen oxides and particulate matter is crucial. Lab reports from these tests inform city-wide public health advisories.</w:t>
      </w:r>
    </w:p>
    <w:p>
      <w:pPr>
        <w:numPr>
          <w:ilvl w:val="0"/>
          <w:numId w:val="1001"/>
        </w:numPr>
        <w:pStyle w:val="Compact"/>
      </w:pPr>
      <w:r>
        <w:rPr>
          <w:bCs/>
          <w:b/>
        </w:rPr>
        <w:t xml:space="preserve">Water Management:</w:t>
      </w:r>
      <w:r>
        <w:t xml:space="preserve"> </w:t>
      </w:r>
      <w:r>
        <w:t xml:space="preserve">The Spree river and local water tables are closely monitored for pharmaceutical residues and industrial runoff, requiring highly sensitive chromatographic techniques.</w:t>
      </w:r>
    </w:p>
    <w:bookmarkEnd w:id="23"/>
    <w:bookmarkStart w:id="24" w:name="laboratory-methodologies"/>
    <w:p>
      <w:pPr>
        <w:pStyle w:val="Heading2"/>
      </w:pPr>
      <w:r>
        <w:t xml:space="preserve">4. Laboratory Methodologies</w:t>
      </w:r>
    </w:p>
    <w:p>
      <w:pPr>
        <w:pStyle w:val="FirstParagraph"/>
      </w:pPr>
      <w:r>
        <w:t xml:space="preserve">To ensure the integrity of the data produced by chemists in Berlin, laboratories employ a suite of advanced analytical techniques. The following table summarizes the core methodologies currently in use:</w:t>
      </w:r>
    </w:p>
    <w:p>
      <w:pPr>
        <w:pStyle w:val="BodyText"/>
      </w:pPr>
      <w:r>
        <w:t xml:space="preserve">Method</w:t>
      </w:r>
    </w:p>
    <w:bookmarkEnd w:id="24"/>
    <w:p>
      <w:pPr>
        <w:pStyle w:val="BodyText"/>
      </w:pPr>
      <w:r>
        <w:t xml:space="preserve">Description</w:t>
      </w:r>
    </w:p>
    <w:p>
      <w:pPr>
        <w:pStyle w:val="BodyText"/>
      </w:pPr>
      <w:r>
        <w:t xml:space="preserve">&gt;</w:t>
      </w:r>
    </w:p>
    <w:p>
      <w:pPr>
        <w:pStyle w:val="BodyText"/>
      </w:pPr>
      <w:r>
        <w:t xml:space="preserve">HPLC (High-Performance Liquid Chromatography)</w:t>
      </w:r>
    </w:p>
    <w:p>
      <w:pPr>
        <w:pStyle w:val="BodyText"/>
      </w:pPr>
      <w:r>
        <w:t xml:space="preserve">Separates, identifies, and quantifies each component in a mixture.</w:t>
      </w:r>
    </w:p>
    <w:p>
      <w:pPr>
        <w:pStyle w:val="BodyText"/>
      </w:pPr>
      <w:r>
        <w:t xml:space="preserve">Pharmaceutical purity testing for local biotech startups.</w:t>
      </w:r>
    </w:p>
    <w:p>
      <w:pPr>
        <w:pStyle w:val="BodyText"/>
      </w:pPr>
      <w:r>
        <w:t xml:space="preserve">GC-MS (Gas Chromatography-Mass Spectrometry)</w:t>
      </w:r>
    </w:p>
    <w:p>
      <w:pPr>
        <w:pStyle w:val="BodyText"/>
      </w:pPr>
      <w:r>
        <w:t xml:space="preserve">Analyzes volatile organic compounds.</w:t>
      </w:r>
    </w:p>
    <w:p>
      <w:pPr>
        <w:pStyle w:val="BodyText"/>
      </w:pPr>
      <w:r>
        <w:rPr>
          <w:bCs/>
          <w:b/>
        </w:rPr>
        <w:t xml:space="preserve">Volatile Organic Compound</w:t>
      </w:r>
    </w:p>
    <w:p>
      <w:pPr>
        <w:pStyle w:val="BodyText"/>
      </w:pPr>
      <w:r>
        <w:t xml:space="preserve">Environmental forensics and air quality control.</w:t>
      </w:r>
    </w:p>
    <w:p>
      <w:pPr>
        <w:pStyle w:val="BodyText"/>
      </w:pPr>
      <w:r>
        <w:t xml:space="preserve">ICP-MS (Inductively Coupled Plasma Mass Spectrometry)</w:t>
      </w:r>
    </w:p>
    <w:p>
      <w:pPr>
        <w:pStyle w:val="BodyText"/>
      </w:pPr>
      <w:r>
        <w:t xml:space="preserve">Detects metals at parts per billion levels.</w:t>
      </w:r>
    </w:p>
    <w:p>
      <w:pPr>
        <w:pStyle w:val="BodyText"/>
      </w:pPr>
      <w:r>
        <w:t xml:space="preserve">Precise measurement of contaminants in groundwater samples.</w:t>
      </w:r>
    </w:p>
    <w:p>
      <w:pPr>
        <w:pStyle w:val="BodyText"/>
      </w:pPr>
      <w:r>
        <w:t xml:space="preserve">NMR (Nuclear Magnetic Resonance)</w:t>
      </w:r>
    </w:p>
    <w:p>
      <w:pPr>
        <w:pStyle w:val="BodyText"/>
      </w:pPr>
      <w:r>
        <w:t xml:space="preserve">Determines the structure and purity of organic compounds.</w:t>
      </w:r>
    </w:p>
    <w:p>
      <w:pPr>
        <w:pStyle w:val="BodyText"/>
      </w:pPr>
      <w:r>
        <w:t xml:space="preserve">R&amp;D for new materials at Humboldt University affiliated labs.</w:t>
      </w:r>
    </w:p>
    <w:p>
      <w:pPr>
        <w:pStyle w:val="BodyText"/>
      </w:pPr>
      <w:r>
        <w:t xml:space="preserve">The "Lab Report" generated from these analyses is not merely a summary of numbers; it is a legal document. It includes raw data, calibration curves, uncertainty margins, and the signature of the responsible chemist. In Germany, the principle of documentation completeness (Dokumentationsvollständigkeit) is paramount. Any gap in this chain of custody can render an entire study invalid.</w:t>
      </w:r>
    </w:p>
    <w:bookmarkStart w:id="25" w:name="quality-assurance-and-accreditation"/>
    <w:p>
      <w:pPr>
        <w:pStyle w:val="Heading2"/>
      </w:pPr>
      <w:r>
        <w:t xml:space="preserve">5. Quality Assurance and Accreditation</w:t>
      </w:r>
    </w:p>
    <w:p>
      <w:pPr>
        <w:pStyle w:val="FirstParagraph"/>
      </w:pPr>
      <w:r>
        <w:t xml:space="preserve">In Berlin, reputable chemist laboratories operate under the ISO/IEC 17025 standard for testing and calibration laboratories. This accreditation ensures that the laboratory produces technically valid results. Regular internal audits are conducted to verify that staff members adhere to standard operating procedures (SOPs). Additionally, participation in proficiency testing schemes organized by national bodies like the PTB (Physikalisch-Technische Bundesanstalt) is mandatory.</w:t>
      </w:r>
    </w:p>
    <w:p>
      <w:pPr>
        <w:pStyle w:val="BodyText"/>
      </w:pPr>
      <w:r>
        <w:t xml:space="preserve">The lab report serves as the final output of this quality assurance process. It must clearly state whether the results fall within acceptable limits defined by German technical rules for hazardous substances (TRGS). For example, if a chemist analyzes air samples in a factory near Tempelhof, the resulting report must explicitly compare findings against TRGS 900 limit values.</w:t>
      </w:r>
    </w:p>
    <w:bookmarkEnd w:id="25"/>
    <w:bookmarkStart w:id="26" w:name="digitalization-and-data-integrity"/>
    <w:p>
      <w:pPr>
        <w:pStyle w:val="Heading2"/>
      </w:pPr>
      <w:r>
        <w:t xml:space="preserve">6. Digitalization and Data Integrity</w:t>
      </w:r>
    </w:p>
    <w:p>
      <w:pPr>
        <w:pStyle w:val="FirstParagraph"/>
      </w:pPr>
      <w:r>
        <w:t xml:space="preserve">The landscape of laboratory reporting in Germany is rapidly evolving with digitalization. Modern chemist labs in Berlin utilize Laboratory Information Management Systems (LIMS) to automate data entry, reducing the risk of human error. The lab report is now often generated digitally, complete with electronic signatures that comply with German electronic signature laws.</w:t>
      </w:r>
    </w:p>
    <w:p>
      <w:pPr>
        <w:pStyle w:val="BodyText"/>
      </w:pPr>
      <w:r>
        <w:t xml:space="preserve">This shift towards digital records enhances traceability and allows for real-time monitoring of chemical trends across the city. For instance, if multiple labs in Berlin detect a spike in a specific pollutant, data aggregation can quickly trigger regulatory responses. The integration of AI-driven analytics into lab reports is also beginning to emerge, allowing chemists to predict potential compliance issues before they arise.</w:t>
      </w:r>
    </w:p>
    <w:bookmarkEnd w:id="26"/>
    <w:bookmarkStart w:id="27" w:name="conclusion"/>
    <w:p>
      <w:pPr>
        <w:pStyle w:val="Heading2"/>
      </w:pPr>
      <w:r>
        <w:t xml:space="preserve">7. Conclusion</w:t>
      </w:r>
    </w:p>
    <w:p>
      <w:pPr>
        <w:pStyle w:val="FirstParagraph"/>
      </w:pPr>
      <w:r>
        <w:t xml:space="preserve">This laboratory report underscores the critical role that chemist services play in maintaining public health and environmental safety in Germany, Berlin. By adhering to strict regulatory frameworks such as REACH and TRGS, utilizing advanced analytical methodologies, and embracing digital quality assurance standards, laboratories in Berlin ensure that their findings are accurate, reliable, and actionable.</w:t>
      </w:r>
    </w:p>
    <w:p>
      <w:pPr>
        <w:pStyle w:val="BodyText"/>
      </w:pPr>
      <w:r>
        <w:t xml:space="preserve">The comprehensive nature of the lab report acts as a bridge between scientific data and policy-making. It empowers authorities to make informed decisions about urban planning, industrial regulation, and public health initiatives. As Berlin continues to grow as a center for science and technology, the rigorous standards outlined in this report will remain essential for sustaining trust in chemical analysis services.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Analysis Services in Germany, Berlin</dc:title>
  <dc:creator/>
  <dc:language>en</dc:language>
  <cp:keywords/>
  <dcterms:created xsi:type="dcterms:W3CDTF">2026-07-29T13:10:47Z</dcterms:created>
  <dcterms:modified xsi:type="dcterms:W3CDTF">2026-07-29T13:10:47Z</dcterms:modified>
</cp:coreProperties>
</file>

<file path=docProps/custom.xml><?xml version="1.0" encoding="utf-8"?>
<Properties xmlns="http://schemas.openxmlformats.org/officeDocument/2006/custom-properties" xmlns:vt="http://schemas.openxmlformats.org/officeDocument/2006/docPropsVTypes"/>
</file>