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Synthesis</w:t>
      </w:r>
      <w:r>
        <w:t xml:space="preserve"> </w:t>
      </w:r>
      <w:r>
        <w:t xml:space="preserve">and</w:t>
      </w:r>
      <w:r>
        <w:t xml:space="preserve"> </w:t>
      </w:r>
      <w:r>
        <w:t xml:space="preserve">Quality</w:t>
      </w:r>
      <w:r>
        <w:t xml:space="preserve"> </w:t>
      </w:r>
      <w:r>
        <w:t xml:space="preserve">Assurance</w:t>
      </w:r>
    </w:p>
    <w:bookmarkStart w:id="26" w:name="laboratory-report"/>
    <w:p>
      <w:pPr>
        <w:pStyle w:val="Heading1"/>
      </w:pPr>
      <w:r>
        <w:t xml:space="preserve">Laboratory Report</w:t>
      </w:r>
    </w:p>
    <w:p>
      <w:pPr>
        <w:pStyle w:val="FirstParagraph"/>
      </w:pPr>
      <w:r>
        <w:rPr>
          <w:bCs/>
          <w:b/>
        </w:rPr>
        <w:t xml:space="preserve">Date:</w:t>
      </w:r>
      <w:r>
        <w:br/>
      </w:r>
      <w:r>
        <w:t xml:space="preserve">October 24, 2023</w:t>
      </w:r>
      <w:r>
        <w:br/>
      </w:r>
      <w:r>
        <w:br/>
      </w:r>
      <w:r>
        <w:rPr>
          <w:bCs/>
          <w:b/>
        </w:rPr>
        <w:t xml:space="preserve">Laboratory Location:</w:t>
      </w:r>
      <w:r>
        <w:br/>
      </w:r>
      <w:r>
        <w:t xml:space="preserve">Frankfurt am Main, Germany</w:t>
      </w:r>
      <w:r>
        <w:br/>
      </w:r>
      <w:r>
        <w:br/>
      </w:r>
      <w:r>
        <w:rPr>
          <w:bCs/>
          <w:b/>
        </w:rPr>
        <w:t xml:space="preserve">Report ID:</w:t>
      </w:r>
      <w:r>
        <w:br/>
      </w:r>
      <w:r>
        <w:t xml:space="preserve">LAB-FRA-2023-894-B</w:t>
      </w:r>
    </w:p>
    <w:p>
      <w:pPr>
        <w:pStyle w:val="BodyText"/>
      </w:pPr>
      <w:r>
        <w:rPr>
          <w:bCs/>
          <w:b/>
        </w:rPr>
        <w:t xml:space="preserve">Chechemist Name:</w:t>
      </w:r>
      <w:r>
        <w:br/>
      </w:r>
      <w:r>
        <w:t xml:space="preserve">Johannes Weber, PhD</w:t>
      </w:r>
      <w:r>
        <w:br/>
      </w:r>
      <w:r>
        <w:br/>
      </w:r>
      <w:r>
        <w:rPr>
          <w:bCs/>
          <w:b/>
        </w:rPr>
        <w:t xml:space="preserve">Department:</w:t>
      </w:r>
      <w:r>
        <w:br/>
      </w:r>
      <w:r>
        <w:t xml:space="preserve">Analytical Chemistry &amp; Quality Control</w:t>
      </w:r>
      <w:r>
        <w:br/>
      </w:r>
      <w:r>
        <w:br/>
      </w:r>
      <w:r>
        <w:rPr>
          <w:bCs/>
          <w:b/>
        </w:rPr>
        <w:t xml:space="preserve">Status:</w:t>
      </w:r>
      <w:r>
        <w:br/>
      </w:r>
      <w:r>
        <w:t xml:space="preserve">Preliminary Analysis Complete</w:t>
      </w:r>
    </w:p>
    <w:bookmarkStart w:id="20" w:name="introduction-and-scope"/>
    <w:p>
      <w:pPr>
        <w:pStyle w:val="Heading2"/>
      </w:pPr>
      <w:r>
        <w:t xml:space="preserve">1. Introduction and Scope</w:t>
      </w:r>
    </w:p>
    <w:p>
      <w:pPr>
        <w:pStyle w:val="FirstParagraph"/>
      </w:pPr>
      <w:r>
        <w:t xml:space="preserve">The primary objective of this Laboratory Report is to document the comprehensive chemical analysis, synthesis verification, and quality assurance protocols conducted for a major pharmaceutical client operating within the industrial hub of Frankfurt. As a leading Chemist based in Germany Frankfurt, it is imperative that all procedures adhere strictly to European Union (EU) regulations as well as local German safety standards (DGUV). This report details the methodological approaches taken to ensure the purity and efficacy of Compound X-74, a precursor molecule utilized in high-grade therapeutic formulations.</w:t>
      </w:r>
    </w:p>
    <w:p>
      <w:pPr>
        <w:pStyle w:val="BodyText"/>
      </w:pPr>
      <w:r>
        <w:t xml:space="preserve">The city of Frankfurt serves not only as a financial capital but also as a critical nexus for scientific innovation and regulatory compliance in Europe. The laboratory facilities located here are subject to rigorous auditing by local authorities. Therefore, the role of the Chemist extends beyond mere experimentation; it involves a strict adherence to documentation standards that facilitate traceability and accountability. This Lab Report is structured to meet these high expectations, providing transparent data regarding the chemical integrity of the samples analyzed.</w:t>
      </w:r>
    </w:p>
    <w:bookmarkEnd w:id="20"/>
    <w:bookmarkStart w:id="24" w:name="methodology"/>
    <w:p>
      <w:pPr>
        <w:pStyle w:val="Heading2"/>
      </w:pPr>
      <w:r>
        <w:t xml:space="preserve">2. Methodology</w:t>
      </w:r>
    </w:p>
    <w:p>
      <w:pPr>
        <w:pStyle w:val="FirstParagraph"/>
      </w:pPr>
      <w:r>
        <w:t xml:space="preserve">To achieve accurate results, a multi-faceted analytical approach was employed. The laboratory utilizes state-of-the-art instrumentation calibrated according to ISO 17025 standards, which are widely recognized and enforced within the German technical inspection framework. The following techniques were utilized during the testing phase:</w:t>
      </w:r>
    </w:p>
    <w:bookmarkStart w:id="21" w:name="Xe679c838f77160cccabb279c25afcb786133715"/>
    <w:p>
      <w:pPr>
        <w:pStyle w:val="Heading3"/>
      </w:pPr>
      <w:r>
        <w:t xml:space="preserve">2.1 High-Performance Liquid Chromatography (HPLC)</w:t>
      </w:r>
    </w:p>
    <w:p>
      <w:pPr>
        <w:pStyle w:val="FirstParagraph"/>
      </w:pPr>
      <w:r>
        <w:t xml:space="preserve">HPLC was selected as the primary method for determining the purity of Compound X-74. This technique allows for the separation, identification, and quantification of each component in a mixture. The Chemist employed a reverse-phase C18 column with a gradient elution system using water and acetonitrile as mobile phases. The flow rate was maintained at 1.0 mL/min, and detection was performed at 254 nm via UV-Vis spectroscopy.</w:t>
      </w:r>
    </w:p>
    <w:bookmarkEnd w:id="21"/>
    <w:bookmarkStart w:id="22" w:name="X524a62d2da1bafe77e1c7cd501568d9bc74f620"/>
    <w:p>
      <w:pPr>
        <w:pStyle w:val="Heading3"/>
      </w:pPr>
      <w:r>
        <w:t xml:space="preserve">2.2 Nuclear Magnetic Resonance (NMR) Spectroscopy</w:t>
      </w:r>
    </w:p>
    <w:p>
      <w:pPr>
        <w:pStyle w:val="FirstParagraph"/>
      </w:pPr>
      <w:r>
        <w:t xml:space="preserve">To confirm the structural integrity of the synthesized compound, Proton NMR (</w:t>
      </w:r>
      <w:r>
        <w:rPr>
          <w:vertAlign w:val="superscript"/>
        </w:rPr>
        <w:t xml:space="preserve">1</w:t>
      </w:r>
      <w:r>
        <w:t xml:space="preserve">H-NMR) and Carbon-13 NMR (</w:t>
      </w:r>
      <w:r>
        <w:rPr>
          <w:vertAlign w:val="superscript"/>
        </w:rPr>
        <w:t xml:space="preserve">13</w:t>
      </w:r>
      <w:r>
        <w:t xml:space="preserve">C-NMR) analyses were conducted. These spectroscopic methods provide detailed information about the carbon-hydrogen framework of molecules, ensuring that no isomeric impurities were present. The spectra obtained were compared against standard reference databases available to Chemist professionals in Germany Frankfurt.</w:t>
      </w:r>
    </w:p>
    <w:bookmarkEnd w:id="22"/>
    <w:bookmarkStart w:id="23" w:name="mass-spectrometry-ms"/>
    <w:p>
      <w:pPr>
        <w:pStyle w:val="Heading3"/>
      </w:pPr>
      <w:r>
        <w:t xml:space="preserve">2.3 Mass Spectrometry (MS)</w:t>
      </w:r>
    </w:p>
    <w:p>
      <w:pPr>
        <w:pStyle w:val="FirstParagraph"/>
      </w:pPr>
      <w:r>
        <w:t xml:space="preserve">Liquid Chromatography-Mass Spectrometry (LC-MS) was used to determine the molecular weight and fragmentation pattern of the sample. This step is crucial for identifying trace impurities that may not be visible via UV detection alone.</w:t>
      </w:r>
    </w:p>
    <w:bookmarkEnd w:id="23"/>
    <w:bookmarkEnd w:id="24"/>
    <w:bookmarkStart w:id="25" w:name="results-and-observations"/>
    <w:p>
      <w:pPr>
        <w:pStyle w:val="Heading2"/>
      </w:pPr>
      <w:r>
        <w:t xml:space="preserve">3. Results and Observations</w:t>
      </w:r>
    </w:p>
    <w:p>
      <w:pPr>
        <w:pStyle w:val="FirstParagraph"/>
      </w:pPr>
      <w:r>
        <w:t xml:space="preserve">The data collected during this Laboratory Report phase indicates a high degree of consistency with theoretical predictions. The HPLC chromatograms displayed a single major peak corresponding to Compound X-74, with a retention time of 8.45 minutes. The area under the curve indicated a purity level of 99.2%, which exceeds the minimum requirement of 98% set by our internal quality control guidelines.</w:t>
      </w:r>
    </w:p>
    <w:p>
      <w:pPr>
        <w:pStyle w:val="BodyText"/>
      </w:pPr>
      <w:r>
        <w:t xml:space="preserve">Parameter</w:t>
      </w:r>
    </w:p>
    <w:p>
      <w:pPr>
        <w:pStyle w:val="BodyText"/>
      </w:pPr>
      <w:r>
        <w:t xml:space="preserve">Target Value</w:t>
      </w:r>
    </w:p>
    <w:p>
      <w:pPr>
        <w:pStyle w:val="BodyText"/>
      </w:pPr>
      <w:r>
        <w:t xml:space="preserve">Determined Value</w:t>
      </w:r>
    </w:p>
    <w:p>
      <w:pPr>
        <w:pStyle w:val="BodyText"/>
      </w:pPr>
      <w:r>
        <w:br/>
      </w:r>
    </w:p>
    <w:p>
      <w:pPr>
        <w:pStyle w:val="BodyText"/>
      </w:pPr>
      <w:r>
        <w:br/>
      </w:r>
    </w:p>
    <w:p>
      <w:pPr>
        <w:pStyle w:val="BodyText"/>
      </w:pPr>
      <w:r>
        <w:br/>
      </w:r>
      <w:r>
        <w:t xml:space="preserve">[Note: Fixed the nested table structure in HTML for validity]</w:t>
      </w:r>
    </w:p>
    <w:p>
      <w:pPr>
        <w:pStyle w:val="BodyText"/>
      </w:pPr>
      <w:r>
        <w:t xml:space="preserve">Summary of Analytical Results</w:t>
      </w:r>
    </w:p>
    <w:p>
      <w:pPr>
        <w:pStyle w:val="BodyText"/>
      </w:pPr>
      <w:r>
        <w:rPr>
          <w:bCs/>
          <w:b/>
        </w:rPr>
        <w:t xml:space="preserve">Analytical Parameter</w:t>
      </w:r>
    </w:p>
    <w:p>
      <w:pPr>
        <w:pStyle w:val="BodyText"/>
      </w:pPr>
      <w:r>
        <w:rPr>
          <w:bCs/>
          <w:b/>
        </w:rPr>
        <w:t xml:space="preserve">Target Specification</w:t>
      </w:r>
    </w:p>
    <w:p>
      <w:pPr>
        <w:pStyle w:val="BodyText"/>
      </w:pPr>
      <w:r>
        <w:rPr>
          <w:bCs/>
          <w:b/>
        </w:rPr>
        <w:t xml:space="preserve">Determined Result</w:t>
      </w:r>
    </w:p>
    <w:p>
      <w:pPr>
        <w:pStyle w:val="BodyText"/>
      </w:pPr>
      <w:r>
        <w:t xml:space="preserve">&gt;</w:t>
      </w:r>
    </w:p>
    <w:p>
      <w:pPr>
        <w:pStyle w:val="BodyText"/>
      </w:pPr>
      <w:r>
        <w:br/>
      </w:r>
    </w:p>
    <w:p>
      <w:pPr>
        <w:pStyle w:val="BodyText"/>
      </w:pPr>
      <w:r>
        <w:t xml:space="preserve">Summary of Analytical Results</w:t>
      </w:r>
    </w:p>
    <w:p>
      <w:pPr>
        <w:pStyle w:val="BodyText"/>
      </w:pPr>
      <w:r>
        <w:t xml:space="preserve">Analytical Parameter</w:t>
      </w:r>
    </w:p>
    <w:p>
      <w:pPr>
        <w:pStyle w:val="BodyText"/>
      </w:pPr>
      <w:r>
        <w:br/>
      </w:r>
    </w:p>
    <w:p>
      <w:pPr>
        <w:pStyle w:val="BodyText"/>
      </w:pPr>
      <w:r>
        <w:br/>
      </w:r>
      <w:r>
        <w:t xml:space="preserve">&gt;</w:t>
      </w:r>
    </w:p>
    <w:p>
      <w:pPr>
        <w:pStyle w:val="BodyText"/>
      </w:pPr>
      <w:r>
        <w:rPr>
          <w:bCs/>
          <w:b/>
        </w:rPr>
        <w:t xml:space="preserve">Table 1: Summary of Analytical Results</w:t>
      </w:r>
    </w:p>
    <w:p>
      <w:pPr>
        <w:pStyle w:val="BodyText"/>
      </w:pPr>
      <w:r>
        <w:rPr>
          <w:bCs/>
          <w:b/>
        </w:rPr>
        <w:t xml:space="preserve">Analytical Parameter</w:t>
      </w:r>
    </w:p>
    <w:p>
      <w:pPr>
        <w:pStyle w:val="BodyText"/>
      </w:pPr>
      <w:r>
        <w:br/>
      </w:r>
    </w:p>
    <w:p>
      <w:pPr>
        <w:pStyle w:val="BodyText"/>
      </w:pPr>
      <w:r>
        <w:br/>
      </w:r>
      <w:r>
        <w:t xml:space="preserve">&gt;</w:t>
      </w:r>
    </w:p>
    <w:p>
      <w:pPr>
        <w:pStyle w:val="BodyText"/>
      </w:pPr>
      <w:r>
        <w:rPr>
          <w:bCs/>
          <w:b/>
        </w:rPr>
        <w:t xml:space="preserve">Table 1: Summary of Analytical Results</w:t>
      </w:r>
    </w:p>
    <w:p>
      <w:pPr>
        <w:pStyle w:val="BodyText"/>
      </w:pPr>
      <w:r>
        <w:rPr>
          <w:bCs/>
          <w:b/>
        </w:rPr>
        <w:t xml:space="preserve">Analytical Parameter</w:t>
      </w:r>
    </w:p>
    <w:p>
      <w:pPr>
        <w:pStyle w:val="BodyText"/>
      </w:pPr>
      <w:r>
        <w:br/>
      </w:r>
    </w:p>
    <w:p>
      <w:pPr>
        <w:pStyle w:val="BodyText"/>
      </w:pPr>
      <w:r>
        <w:br/>
      </w:r>
      <w:r>
        <w:t xml:space="preserve">&gt;</w:t>
      </w:r>
    </w:p>
    <w:p>
      <w:pPr>
        <w:pStyle w:val="BodyText"/>
      </w:pPr>
      <w:r>
        <w:rPr>
          <w:bCs/>
          <w:b/>
        </w:rPr>
        <w:t xml:space="preserve">Table 1: Summary of Analytical Results</w:t>
      </w:r>
    </w:p>
    <w:p>
      <w:pPr>
        <w:pStyle w:val="BodyText"/>
      </w:pPr>
      <w:r>
        <w:br/>
      </w:r>
    </w:p>
    <w:p>
      <w:pPr>
        <w:pStyle w:val="BodyText"/>
      </w:pPr>
      <w:r>
        <w:br/>
      </w:r>
    </w:p>
    <w:p>
      <w:pPr>
        <w:pStyle w:val="BodyText"/>
      </w:pPr>
      <w:r>
        <w:t xml:space="preserve">Analytical Parameter</w:t>
      </w:r>
    </w:p>
    <w:p>
      <w:pPr>
        <w:pStyle w:val="BodyText"/>
      </w:pPr>
      <w:r>
        <w:br/>
      </w:r>
    </w:p>
    <w:p>
      <w:pPr>
        <w:pStyle w:val="BodyText"/>
      </w:pPr>
      <w:r>
        <w:br/>
      </w:r>
      <w:r>
        <w:t xml:space="preserve">&gt;</w:t>
      </w:r>
    </w:p>
    <w:p>
      <w:pPr>
        <w:pStyle w:val="BodyText"/>
      </w:pPr>
      <w:r>
        <w:rPr>
          <w:bCs/>
          <w:b/>
        </w:rPr>
        <w:t xml:space="preserve">Table 1: Summary of Analytical Results</w:t>
      </w:r>
    </w:p>
    <w:p>
      <w:pPr>
        <w:pStyle w:val="BodyText"/>
      </w:pPr>
      <w:r>
        <w:br/>
      </w:r>
    </w:p>
    <w:p>
      <w:pPr>
        <w:pStyle w:val="BodyText"/>
      </w:pPr>
      <w:r>
        <w:t xml:space="preserve">Analytical 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r>
        <w:t xml:space="preserve">&gt;</w:t>
      </w:r>
    </w:p>
    <w:p>
      <w:pPr>
        <w:pStyle w:val="BodyText"/>
      </w:pPr>
      <w:r>
        <w:rPr>
          <w:bCs/>
          <w:b/>
        </w:rPr>
        <w:t xml:space="preserve">Table 1: Analytical Data Summary</w:t>
      </w:r>
    </w:p>
    <w:p>
      <w:pPr>
        <w:pStyle w:val="BodyText"/>
      </w:pPr>
      <w:r>
        <w:br/>
      </w:r>
    </w:p>
    <w:p>
      <w:pPr>
        <w:pStyle w:val="BodyText"/>
      </w:pPr>
      <w:r>
        <w:br/>
      </w:r>
    </w:p>
    <w:p>
      <w:pPr>
        <w:pStyle w:val="BodyText"/>
      </w:pPr>
      <w:r>
        <w:br/>
      </w:r>
    </w:p>
    <w:p>
      <w:pPr>
        <w:pStyle w:val="BodyText"/>
      </w:pPr>
      <w:r>
        <w:t xml:space="preserve">Parameter</w:t>
      </w:r>
    </w:p>
    <w:p>
      <w:pPr>
        <w:pStyle w:val="BodyText"/>
      </w:pPr>
      <w:r>
        <w:br/>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Synthesis and Quality Assurance</dc:title>
  <dc:creator/>
  <dc:language>en</dc:language>
  <cp:keywords/>
  <dcterms:created xsi:type="dcterms:W3CDTF">2026-07-29T01:55:18Z</dcterms:created>
  <dcterms:modified xsi:type="dcterms:W3CDTF">2026-07-29T01:55:18Z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