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Pharmaceutical</w:t>
      </w:r>
      <w:r>
        <w:t xml:space="preserve"> </w:t>
      </w:r>
      <w:r>
        <w:t xml:space="preserve">and</w:t>
      </w:r>
      <w:r>
        <w:t xml:space="preserve"> </w:t>
      </w:r>
      <w:r>
        <w:t xml:space="preserve">Chemical</w:t>
      </w:r>
      <w:r>
        <w:t xml:space="preserve"> </w:t>
      </w:r>
      <w:r>
        <w:t xml:space="preserve">Standards</w:t>
      </w:r>
      <w:r>
        <w:t xml:space="preserve"> </w:t>
      </w:r>
      <w:r>
        <w:t xml:space="preserve">in</w:t>
      </w:r>
      <w:r>
        <w:t xml:space="preserve"> </w:t>
      </w:r>
      <w:r>
        <w:t xml:space="preserve">Italy</w:t>
      </w:r>
      <w:r>
        <w:t xml:space="preserve"> </w:t>
      </w:r>
      <w:r>
        <w:t xml:space="preserve">Milan</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p>
    <w:p>
      <w:pPr>
        <w:pStyle w:val="BodyText"/>
      </w:pPr>
      <w:r>
        <w:rPr>
          <w:bCs/>
          <w:b/>
        </w:rPr>
        <w:t xml:space="preserve">Clinical Site:</w:t>
      </w:r>
      <w:r>
        <w:t xml:space="preserve">Ancillary Chemical Research Unit, Milan Metropolitan Area</w:t>
      </w:r>
      <w:r>
        <w:br/>
      </w:r>
    </w:p>
    <w:p>
      <w:pPr>
        <w:pStyle w:val="BodyText"/>
      </w:pPr>
      <w:r>
        <w:rPr>
          <w:bCs/>
          <w:b/>
        </w:rPr>
        <w:t xml:space="preserve">Reference Number:</w:t>
      </w:r>
      <w:r>
        <w:t xml:space="preserve">MIL-CHEM-2023-8940-B</w:t>
      </w:r>
    </w:p>
    <w:p>
      <w:pPr>
        <w:pStyle w:val="BodyText"/>
      </w:pPr>
      <w:r>
        <w:t xml:space="preserve">Patient/Subject ID: (Pseudonymized for GDPR compliance)</w:t>
      </w:r>
    </w:p>
    <w:bookmarkEnd w:id="20"/>
    <w:bookmarkStart w:id="21" w:name="executive-summary"/>
    <w:p>
      <w:pPr>
        <w:pStyle w:val="Heading2"/>
      </w:pPr>
      <w:r>
        <w:t xml:space="preserve">1. Executive Summary</w:t>
      </w:r>
    </w:p>
    <w:p>
      <w:pPr>
        <w:pStyle w:val="FirstParagraph"/>
      </w:pPr>
      <w:r>
        <w:t xml:space="preserve">This document serves as a comprehensive Lab Report detailing the chemical and pharmaceutical analysis conducted under the jurisdiction of Italy Milan. The primary objective of this investigation was to evaluate the purity, stability, and compositional integrity of a novel compound suspected of being introduced into the local pharmaceutical supply chain within Northern Italy. As chemist professionals operating in one Europe’s most rigorous regulatory environments, it is imperative that every metric aligns with both European Medicines Agency (EMA) guidelines and Italian Ministry of Health standards. The findings presented herein demonstrate significant deviations from expected chemical profiles, necessitating immediate intervention and further spectroscopic analysis.</w:t>
      </w:r>
    </w:p>
    <w:bookmarkEnd w:id="21"/>
    <w:bookmarkStart w:id="22" w:name="introduction-and-background"/>
    <w:p>
      <w:pPr>
        <w:pStyle w:val="Heading2"/>
      </w:pPr>
      <w:r>
        <w:t xml:space="preserve">2. Introduction and Background</w:t>
      </w:r>
    </w:p>
    <w:p>
      <w:pPr>
        <w:pStyle w:val="FirstParagraph"/>
      </w:pPr>
      <w:r>
        <w:t xml:space="preserve">The city of Milan serves not only as the financial capital Italy but also as a critical hub for biomedical research and pharmaceutical innovation. Consequently, the demand for precise chemical monitoring in this region is exceptionally high. In recent weeks, anomalies have been reported regarding a batch of compounded medications distributed across several clinics in Lombardy. These anomalies prompted an urgent request from local health authorities to engage our services as the primary</w:t>
      </w:r>
      <w:r>
        <w:t xml:space="preserve"> </w:t>
      </w:r>
      <w:r>
        <w:rPr>
          <w:bCs/>
          <w:b/>
        </w:rPr>
        <w:t xml:space="preserve">chemist</w:t>
      </w:r>
      <w:r>
        <w:t xml:space="preserve"> </w:t>
      </w:r>
      <w:r>
        <w:t xml:space="preserve">laboratory responsible for forensic chemical verification.</w:t>
      </w:r>
    </w:p>
    <w:p>
      <w:pPr>
        <w:pStyle w:val="BodyText"/>
      </w:pPr>
      <w:r>
        <w:t xml:space="preserve">The role of a modern</w:t>
      </w:r>
      <w:r>
        <w:t xml:space="preserve"> </w:t>
      </w:r>
      <w:r>
        <w:rPr>
          <w:bCs/>
          <w:b/>
        </w:rPr>
        <w:t xml:space="preserve">chemist</w:t>
      </w:r>
      <w:r>
        <w:br/>
      </w:r>
      <w:r>
        <w:t xml:space="preserve">extends beyond simple titration and mass spectrometry; it encompasses a holistic understanding of molecular interactions, environmental stability, and regulatory compliance. In Italy Milan, where heritage architecture often houses modern laboratories, the challenge is to maintain sterile conditions while preserving historical structures. This report outlines the methodological approach taken by our team to ensure that data integrity was never compromised during the sampling phase.</w:t>
      </w:r>
    </w:p>
    <w:bookmarkEnd w:id="22"/>
    <w:bookmarkStart w:id="25" w:name="methodology"/>
    <w:p>
      <w:pPr>
        <w:pStyle w:val="Heading2"/>
      </w:pPr>
      <w:r>
        <w:t xml:space="preserve">3. Methodology</w:t>
      </w:r>
    </w:p>
    <w:p>
      <w:pPr>
        <w:pStyle w:val="FirstParagraph"/>
      </w:pPr>
      <w:r>
        <w:t xml:space="preserve">To accurately assess the chemical composition of the samples, a multi-modal analytical approach was employed. The laboratory in Italy Milan is equipped with state-of-the-art High-Performance Liquid Chromatography (HPLC) systems and Nuclear Magnetic Resonance (NMR) spectrometers. The following steps were strictly adhered to:</w:t>
      </w:r>
    </w:p>
    <w:bookmarkStart w:id="23" w:name="sample-collection"/>
    <w:p>
      <w:pPr>
        <w:pStyle w:val="Heading3"/>
      </w:pPr>
      <w:r>
        <w:t xml:space="preserve">3.1 Sample Collection</w:t>
      </w:r>
    </w:p>
    <w:p>
      <w:pPr>
        <w:pStyle w:val="FirstParagraph"/>
      </w:pPr>
      <w:r>
        <w:t xml:space="preserve">Samples were collected from three distinct pharmacies in the Milanese province during routine business hours to mimic real-world storage conditions. Each vial was labeled according to ISO standards and immediately transported in temperature-controlled containers to the laboratory. The chain of custody was documented meticulously, ensuring that every handover from pharmacy staff to our designated</w:t>
      </w:r>
      <w:r>
        <w:t xml:space="preserve"> </w:t>
      </w:r>
      <w:r>
        <w:rPr>
          <w:bCs/>
          <w:b/>
        </w:rPr>
        <w:t xml:space="preserve">chemist</w:t>
      </w:r>
      <w:r>
        <w:t xml:space="preserve"> </w:t>
      </w:r>
      <w:r>
        <w:t xml:space="preserve">technicians was recorded.</w:t>
      </w:r>
    </w:p>
    <w:bookmarkEnd w:id="23"/>
    <w:bookmarkStart w:id="24" w:name="analytical-procedures"/>
    <w:p>
      <w:pPr>
        <w:pStyle w:val="Heading3"/>
      </w:pPr>
      <w:r>
        <w:t xml:space="preserve">3.2 Analytical Procedures</w:t>
      </w:r>
    </w:p>
    <w:p>
      <w:pPr>
        <w:pStyle w:val="FirstParagraph"/>
      </w:pPr>
      <w:r>
        <w:rPr>
          <w:bCs/>
          <w:b/>
        </w:rPr>
        <w:t xml:space="preserve">HPLC Analysis:</w:t>
      </w:r>
      <w:r>
        <w:t xml:space="preserve">All samples were subjected to HPLC using a C18 reverse-phase column. The mobile phase consisted of a gradient mixture of acetonitrile and water with 0.1% formic acid, allowing for the separation of polar and non-polar compounds alike.</w:t>
      </w:r>
    </w:p>
    <w:p>
      <w:pPr>
        <w:pStyle w:val="BodyText"/>
      </w:pPr>
      <w:r>
        <w:rPr>
          <w:bCs/>
          <w:b/>
        </w:rPr>
        <w:t xml:space="preserve">NMR Spectroscopy:</w:t>
      </w:r>
      <w:r>
        <w:t xml:space="preserve">To determine molecular structure, proton NMR (</w:t>
      </w:r>
      <w:r>
        <w:rPr>
          <w:vertAlign w:val="superscript"/>
        </w:rPr>
        <w:t xml:space="preserve">1</w:t>
      </w:r>
      <w:r>
        <w:t xml:space="preserve">H-NMR) was conducted at 400 MHz. This provided insight into the functional groups present and helped identify any unexpected impurities or degradation products.</w:t>
      </w:r>
    </w:p>
    <w:p>
      <w:pPr>
        <w:pStyle w:val="BodyText"/>
      </w:pPr>
      <w:r>
        <w:rPr>
          <w:bCs/>
          <w:b/>
        </w:rPr>
        <w:t xml:space="preserve">Titer Determination:</w:t>
      </w:r>
      <w:r>
        <w:t xml:space="preserve">Volumetric analysis was performed to confirm the concentration of the active pharmaceutical ingredient (API). This traditional method, still valued in many Italy Milan institutions for its reliability, served as a cross-check against instrumental data.</w:t>
      </w:r>
    </w:p>
    <w:bookmarkEnd w:id="24"/>
    <w:bookmarkEnd w:id="25"/>
    <w:bookmarkStart w:id="26" w:name="results-and-observations"/>
    <w:p>
      <w:pPr>
        <w:pStyle w:val="Heading2"/>
      </w:pPr>
      <w:r>
        <w:t xml:space="preserve">4. Results and Observations</w:t>
      </w:r>
    </w:p>
    <w:p>
      <w:pPr>
        <w:pStyle w:val="FirstParagraph"/>
      </w:pPr>
      <w:r>
        <w:t xml:space="preserve">The data obtained from the laboratory analysis revealed critical discrepancies. The HPLC chromatograms displayed an additional peak not present in the reference standard provided by the manufacturer. This peak, eluting at approximately 12.4 minutes, suggested the presence of an unknown contaminant.</w:t>
      </w:r>
    </w:p>
    <w:p>
      <w:pPr>
        <w:pStyle w:val="BodyText"/>
      </w:pPr>
      <w:r>
        <w:t xml:space="preserve">Further NMR analysis identified this contaminant as a synthetic byproduct resulting from improper catalytic conversion during synthesis. The concentration of this impurity was found to be 4.2%, significantly exceeding the ICH (International Council for Harmonisation) limit of 0.15%. For a</w:t>
      </w:r>
      <w:r>
        <w:t xml:space="preserve"> </w:t>
      </w:r>
      <w:r>
        <w:rPr>
          <w:bCs/>
          <w:b/>
        </w:rPr>
        <w:t xml:space="preserve">chemist</w:t>
      </w:r>
      <w:r>
        <w:t xml:space="preserve"> </w:t>
      </w:r>
      <w:r>
        <w:t xml:space="preserve">reviewing these results, this level of contamination poses a severe safety risk and indicates a breakdown in quality control protocols at the manufacturing stage.</w:t>
      </w:r>
    </w:p>
    <w:p>
      <w:pPr>
        <w:pStyle w:val="BodyText"/>
      </w:pPr>
      <w:r>
        <w:t xml:space="preserve">Additionally, stability testing conducted under accelerated conditions (40°C/75% Relative Humidity) showed rapid degradation of the API. The half-life was reduced by nearly 60% compared to expected values, suggesting that storage conditions in certain pharmacies across Italy Milan may be inadequate for this specific formulation.</w:t>
      </w:r>
    </w:p>
    <w:bookmarkEnd w:id="26"/>
    <w:bookmarkStart w:id="27" w:name="discussion"/>
    <w:p>
      <w:pPr>
        <w:pStyle w:val="Heading2"/>
      </w:pPr>
      <w:r>
        <w:t xml:space="preserve">5. Discussion</w:t>
      </w:r>
    </w:p>
    <w:p>
      <w:pPr>
        <w:pStyle w:val="FirstParagraph"/>
      </w:pPr>
      <w:r>
        <w:t xml:space="preserve">The implications of these findings are profound for the healthcare infrastructure in Italy Milan. The presence of a synthetic byproduct at such high levels could lead to adverse drug reactions, undermining patient trust in local pharmaceutical services. It is crucial to note that the role of the</w:t>
      </w:r>
      <w:r>
        <w:t xml:space="preserve"> </w:t>
      </w:r>
      <w:r>
        <w:rPr>
          <w:bCs/>
          <w:b/>
        </w:rPr>
        <w:t xml:space="preserve">chemist</w:t>
      </w:r>
      <w:r>
        <w:t xml:space="preserve"> </w:t>
      </w:r>
      <w:r>
        <w:t xml:space="preserve">here is not merely observational but advisory. We must communicate these risks clearly to regulatory bodies and healthcare providers.</w:t>
      </w:r>
    </w:p>
    <w:p>
      <w:pPr>
        <w:pStyle w:val="BodyText"/>
      </w:pPr>
      <w:r>
        <w:t xml:space="preserve">The geographical context of Italy Milan cannot be overstated. As a dense urban center with high traffic density and variable industrial activity, environmental factors can influence chemical stability if proper storage protocols are not enforced. Our analysis suggests that while the manufacturing defect is the primary culprit, local handling practices may exacerbate the issue.</w:t>
      </w:r>
    </w:p>
    <w:p>
      <w:pPr>
        <w:pStyle w:val="BodyText"/>
      </w:pPr>
      <w:r>
        <w:t xml:space="preserve">Furthermore, this Lab Report highlights the necessity for continuous professional development among laboratory staff in Italy Milan. The ability to interpret complex spectral data and correlate it with clinical outcomes is a skill that defines excellence in modern chemical analysis. Our team’s proficiency ensures that such anomalies are detected early, preventing widespread distribution of compromised products.</w:t>
      </w:r>
    </w:p>
    <w:bookmarkEnd w:id="27"/>
    <w:bookmarkStart w:id="28" w:name="conclusion"/>
    <w:p>
      <w:pPr>
        <w:pStyle w:val="Heading2"/>
      </w:pPr>
      <w:r>
        <w:t xml:space="preserve">6. Conclusion</w:t>
      </w:r>
    </w:p>
    <w:p>
      <w:pPr>
        <w:pStyle w:val="FirstParagraph"/>
      </w:pPr>
      <w:r>
        <w:t xml:space="preserve">In conclusion, this Lab Report provides compelling evidence of significant quality deviations in the tested pharmaceutical batch. The analytical work performed by our designated</w:t>
      </w:r>
      <w:r>
        <w:t xml:space="preserve"> </w:t>
      </w:r>
      <w:r>
        <w:rPr>
          <w:bCs/>
          <w:b/>
        </w:rPr>
        <w:t xml:space="preserve">chemist</w:t>
      </w:r>
      <w:r>
        <w:br/>
      </w:r>
      <w:r>
        <w:t xml:space="preserve">confirms the presence of harmful impurities and instability issues that violate current regulatory standards in Italy Milan. Immediate recall actions are recommended for all batches bearing Lot Number XJ-992.</w:t>
      </w:r>
    </w:p>
    <w:p>
      <w:pPr>
        <w:pStyle w:val="BodyText"/>
      </w:pPr>
      <w:r>
        <w:t xml:space="preserve">We urge the relevant authorities in Italy Milan to conduct a broader audit of manufacturing facilities supplying this region. The integrity of the pharmaceutical supply chain depends on rigorous adherence to chemical standards, and only through vigilant monitoring by skilled professionals can we ensure patient safety.</w:t>
      </w:r>
    </w:p>
    <w:bookmarkEnd w:id="28"/>
    <w:bookmarkStart w:id="29" w:name="recommendations"/>
    <w:p>
      <w:pPr>
        <w:pStyle w:val="Heading2"/>
      </w:pPr>
      <w:r>
        <w:t xml:space="preserve">7. Recommendations</w:t>
      </w:r>
    </w:p>
    <w:p>
      <w:pPr>
        <w:numPr>
          <w:ilvl w:val="0"/>
          <w:numId w:val="1001"/>
        </w:numPr>
        <w:pStyle w:val="Compact"/>
      </w:pPr>
      <w:r>
        <w:rPr>
          <w:bCs/>
          <w:b/>
        </w:rPr>
        <w:t xml:space="preserve">Immediate Recall:</w:t>
      </w:r>
      <w:r>
        <w:t xml:space="preserve">Linitiate a voluntary recall of all units from Lot Number XJ-992 distributed in the Lombardy region.</w:t>
      </w:r>
    </w:p>
    <w:p>
      <w:pPr>
        <w:numPr>
          <w:ilvl w:val="0"/>
          <w:numId w:val="1001"/>
        </w:numPr>
        <w:pStyle w:val="Compact"/>
      </w:pPr>
      <w:r>
        <w:t xml:space="preserve">Auditing:Schedule an unannounced GMP (Good Manufacturing Practice) audit for the manufacturing plant identified in this report.</w:t>
      </w:r>
    </w:p>
    <w:p>
      <w:pPr>
        <w:numPr>
          <w:ilvl w:val="0"/>
          <w:numId w:val="1001"/>
        </w:numPr>
        <w:pStyle w:val="Compact"/>
      </w:pPr>
      <w:r>
        <w:rPr>
          <w:bCs/>
          <w:b/>
        </w:rPr>
        <w:t xml:space="preserve">Educational Outreach:</w:t>
      </w:r>
      <w:r>
        <w:t xml:space="preserve">Organize workshops for pharmacists in Italy Milan on proper storage and handling of sensitive chemical compounds.</w:t>
      </w:r>
    </w:p>
    <w:p>
      <w:pPr>
        <w:numPr>
          <w:ilvl w:val="0"/>
          <w:numId w:val="1001"/>
        </w:numPr>
        <w:pStyle w:val="Compact"/>
      </w:pPr>
      <w:r>
        <w:t xml:space="preserve">Further Research:</w:t>
      </w:r>
      <w:r>
        <w:t xml:space="preserve">Sponsor additional studies by independent chemist groups to verify our findings and assess long-term stability under varied climatic conditions typical of Northern Italy.</w:t>
      </w:r>
    </w:p>
    <w:p>
      <w:pPr>
        <w:pStyle w:val="FirstParagraph"/>
      </w:pPr>
      <w:r>
        <w:rPr>
          <w:iCs/>
          <w:i/>
        </w:rPr>
        <w:t xml:space="preserve">This document is a confidential Lab Report intended solely for regulatory review. Unauthorized distribution in Italy Milan or elsewhere is prohibited. Prepared by Senior Chemist Dr. A. Rossi, Ph.D., Lead Analyst, Milan Chemical Safety Institute.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Pharmaceutical and Chemical Standards in Italy Milan</dc:title>
  <dc:creator/>
  <dc:language>en</dc:language>
  <cp:keywords/>
  <dcterms:created xsi:type="dcterms:W3CDTF">2026-07-29T11:37:56Z</dcterms:created>
  <dcterms:modified xsi:type="dcterms:W3CDTF">2026-07-29T11:37:56Z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