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Comprehensive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Chemical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2" w:name="X0d4ac8dc439489698ba83bd732be4176362d9b5"/>
    <w:p>
      <w:pPr>
        <w:pStyle w:val="Heading1"/>
      </w:pPr>
      <w:r>
        <w:t xml:space="preserve">Laboratory Report: Advanced Chemical Synthesis and Analysis in Japan Tokyo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Central Research Facility, Minato-ku, Japan Tokyo</w:t>
      </w:r>
    </w:p>
    <w:p>
      <w:pPr>
        <w:pStyle w:val="BodyText"/>
      </w:pPr>
      <w:r>
        <w:rPr>
          <w:bCs/>
          <w:b/>
        </w:rPr>
        <w:t xml:space="preserve">Laboratory Code:</w:t>
      </w:r>
      <w:r>
        <w:t xml:space="preserve"> </w:t>
      </w:r>
      <w:r>
        <w:t xml:space="preserve">LAB-JT-8894-B</w:t>
      </w:r>
    </w:p>
    <w:p>
      <w:pPr>
        <w:pStyle w:val="BodyText"/>
      </w:pPr>
      <w:r>
        <w:t xml:space="preserve">&lt; strong &gt;Subject : Evaluation of Novel Catalytic Processes for Green Chemistry Applications &lt; hr /&gt;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Labor Report</w:t>
      </w:r>
      <w:r>
        <w:t xml:space="preserve"> </w:t>
      </w:r>
      <w:r>
        <w:t xml:space="preserve">ChemistJapan Tokyo, it is imperative that our laboratory adheres to the highest levels of precision, safety, and environmental stewardship. The findings presented herein demonstrate a significant improvement in yield while maintaining compliance with local industrial hygiene laws specific to metropolitan chemical operations in</w:t>
      </w:r>
      <w:r>
        <w:t xml:space="preserve"> </w:t>
      </w:r>
      <w:r>
        <w:rPr>
          <w:bCs/>
          <w:b/>
        </w:rPr>
        <w:t xml:space="preserve">Japan Tokyo.</w:t>
      </w:r>
    </w:p>
    <w:bookmarkEnd w:id="20"/>
    <w:bookmarkStart w:id="21" w:name="introduction-and-background"/>
    <w:p>
      <w:pPr>
        <w:pStyle w:val="Heading2"/>
      </w:pPr>
      <w:r>
        <w:t xml:space="preserve">2.0 Introduction and Background</w:t>
      </w:r>
    </w:p>
    <w:p>
      <w:pPr>
        <w:pStyle w:val="FirstParagraph"/>
      </w:pPr>
      <w:r>
        <w:t xml:space="preserve">The context for this investigation is rooted in the urgent need for sustainable practices within the chemical industry.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, environmental regulations are among the most stringent globally, necessitating that every</w:t>
      </w:r>
      <w:r>
        <w:t xml:space="preserve"> </w:t>
      </w:r>
      <w:r>
        <w:rPr>
          <w:bCs/>
          <w:b/>
        </w:rPr>
        <w:t xml:space="preserve">Labor Report</w:t>
      </w:r>
      <w:r>
        <w:t xml:space="preserve"> </w:t>
      </w:r>
      <w:r>
        <w:t xml:space="preserve">Chemist professionals involves not only discovering new compounds but also ensuring that the pathways to those compounds are ecologically sound.</w:t>
      </w:r>
      <w:r>
        <w:t xml:space="preserve"> </w:t>
      </w:r>
      <w:r>
        <w:t xml:space="preserve">Previous studies have indicated traditional methods often produce toxic byproducts requiring expensive disposal treatments. By shifting our focus toward catalytic processes, we aim to minimize these hazards. This</w:t>
      </w:r>
      <w:r>
        <w:t xml:space="preserve"> </w:t>
      </w:r>
      <w:r>
        <w:rPr>
          <w:bCs/>
          <w:b/>
        </w:rPr>
        <w:t xml:space="preserve">Labor Report</w:t>
      </w:r>
      <w:r>
        <w:t xml:space="preserve"> </w:t>
      </w:r>
      <w:r>
        <w:t xml:space="preserve">outlines the specific experiments conducted at our facility in</w:t>
      </w:r>
      <w:r>
        <w:t xml:space="preserve"> </w:t>
      </w:r>
      <w:r>
        <w:rPr>
          <w:bCs/>
          <w:b/>
        </w:rPr>
        <w:t xml:space="preserve">Japan Tokyo, where state-of-the-art instrumentation allowed for real-time monitoring of reaction kinetics and thermodynamic properties.</w:t>
      </w:r>
    </w:p>
    <w:bookmarkEnd w:id="21"/>
    <w:bookmarkStart w:id="25" w:name="methodology"/>
    <w:p>
      <w:pPr>
        <w:pStyle w:val="Heading2"/>
      </w:pPr>
      <w:r>
        <w:t xml:space="preserve">3.0 Methodology</w:t>
      </w:r>
    </w:p>
    <w:p>
      <w:pPr>
        <w:pStyle w:val="FirstParagraph"/>
      </w:pPr>
      <w:r>
        <w:t xml:space="preserve">The experimental design was rigorous, adhering to standard operating procedures (SOPs) mandated by both international scientific bodies and local authorities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. Each procedure was documented meticulously in the daily logbooks to ensure reproducibility and accountability.</w:t>
      </w:r>
    </w:p>
    <w:bookmarkStart w:id="22" w:name="reagents-and-materials"/>
    <w:p>
      <w:pPr>
        <w:pStyle w:val="Heading3"/>
      </w:pPr>
      <w:r>
        <w:t xml:space="preserve">3.1 Reagents and Materials</w:t>
      </w:r>
    </w:p>
    <w:p>
      <w:pPr>
        <w:pStyle w:val="FirstParagraph"/>
      </w:pPr>
      <w:r>
        <w:t xml:space="preserve">All chemical reagents were sourced from certified suppliers providing full traceability documentation, a requirement emphasized in every</w:t>
      </w:r>
      <w:r>
        <w:t xml:space="preserve"> </w:t>
      </w:r>
      <w:r>
        <w:rPr>
          <w:bCs/>
          <w:b/>
        </w:rPr>
        <w:t xml:space="preserve">Labor Report Japan Tokyo. The primary catalysts used were nanostructured metal-organic frameworks (MOFs) synthesized specifically for this project. Solvents were selected based on their low toxicity profiles, aligning with the green chemistry ethos promoted by our lead &lt; strong &gt; Chemist.</w:t>
      </w:r>
    </w:p>
    <w:bookmarkEnd w:id="22"/>
    <w:bookmarkStart w:id="23" w:name="instrumentation"/>
    <w:p>
      <w:pPr>
        <w:pStyle w:val="Heading3"/>
      </w:pPr>
      <w:r>
        <w:t xml:space="preserve">3.2 Instrumentation</w:t>
      </w:r>
    </w:p>
    <w:p>
      <w:pPr>
        <w:pStyle w:val="FirstParagraph"/>
      </w:pPr>
      <w:r>
        <w:t xml:space="preserve">Analysis was performed using High-Performance Liquid Chromatography (HPLC) coupled with Mass Spectrometry (MS). Gas Chromatography (GC) was also utilized for volatile compound analysis. All equipment was calibrated daily to ensure accuracy, a critical step highlighted in our internal quality assurance protocols within the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laboratory setting.</w:t>
      </w:r>
    </w:p>
    <w:bookmarkEnd w:id="23"/>
    <w:bookmarkStart w:id="24" w:name="experimental-procedure"/>
    <w:p>
      <w:pPr>
        <w:pStyle w:val="Heading3"/>
      </w:pPr>
      <w:r>
        <w:t xml:space="preserve">3.3 Experimental Procedure</w:t>
      </w:r>
    </w:p>
    <w:p>
      <w:pPr>
        <w:pStyle w:val="FirstParagraph"/>
      </w:pPr>
      <w:r>
        <w:t xml:space="preserve">The synthesis began with the preparation of precursor solutions under inert atmosphere conditions to prevent oxidation. The catalyst was introduced in stoichiometric amounts, and the reaction temperature was controlled via a jacketed reactor vessel. Samples were withdrawn at regular intervals for analysis by our team of dedicated &lt; strong &gt; Chemist personnel. Data recording was automated where possible, but manual verification remains a staple of our</w:t>
      </w:r>
      <w:r>
        <w:t xml:space="preserve"> </w:t>
      </w:r>
      <w:r>
        <w:rPr>
          <w:bCs/>
          <w:b/>
        </w:rPr>
        <w:t xml:space="preserve">Labor Report documentation standards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Japan Tokyo.</w:t>
      </w:r>
    </w:p>
    <w:bookmarkEnd w:id="24"/>
    <w:bookmarkEnd w:id="25"/>
    <w:bookmarkStart w:id="26" w:name="results-and-discussion"/>
    <w:p>
      <w:pPr>
        <w:pStyle w:val="Heading2"/>
      </w:pPr>
      <w:r>
        <w:t xml:space="preserve">4.0 Results and Discussion</w:t>
      </w:r>
    </w:p>
    <w:p>
      <w:pPr>
        <w:pStyle w:val="FirstParagraph"/>
      </w:pPr>
      <w:r>
        <w:t xml:space="preserve">The data collected during this study reveals promising trends regarding the efficacy of the novel catalytic process. Below is a summary of the key findings presented in tabular format for clarity within this</w:t>
      </w:r>
      <w:r>
        <w:t xml:space="preserve"> </w:t>
      </w:r>
      <w:r>
        <w:rPr>
          <w:bCs/>
          <w:b/>
        </w:rPr>
        <w:t xml:space="preserve">Labor Report</w:t>
      </w:r>
      <w:r>
        <w:t xml:space="preserve"> </w:t>
      </w:r>
      <w:r>
        <w:t xml:space="preserve">.</w:t>
      </w:r>
    </w:p>
    <w:p>
      <w:pPr>
        <w:pStyle w:val="BodyText"/>
      </w:pPr>
      <w:r>
        <w:t xml:space="preserve">Experiment ID</w:t>
      </w:r>
    </w:p>
    <w:bookmarkEnd w:id="26"/>
    <w:p>
      <w:pPr>
        <w:pStyle w:val="BodyText"/>
      </w:pPr>
      <w:r>
        <w:t xml:space="preserve">Catalyst Type</w:t>
      </w:r>
    </w:p>
    <w:p>
      <w:pPr>
        <w:pStyle w:val="BodyText"/>
      </w:pPr>
      <w:r>
        <w:t xml:space="preserve">Yield (%)</w:t>
      </w:r>
    </w:p>
    <w:p>
      <w:pPr>
        <w:pStyle w:val="BodyText"/>
      </w:pPr>
      <w:r>
        <w:t xml:space="preserve">Purity (%)</w:t>
      </w:r>
    </w:p>
    <w:p>
      <w:pPr>
        <w:pStyle w:val="BodyText"/>
      </w:pPr>
      <w:r>
        <w:t xml:space="preserve">Solvent Usage (L)</w:t>
      </w:r>
    </w:p>
    <w:p>
      <w:pPr>
        <w:pStyle w:val="BodyText"/>
      </w:pPr>
      <w:r>
        <w:t xml:space="preserve">Status in Japan Tokyo Registry</w:t>
      </w:r>
    </w:p>
    <w:p>
      <w:pPr>
        <w:pStyle w:val="BodyText"/>
      </w:pPr>
      <w:r>
        <w:t xml:space="preserve">A-001A-MOF-Cat-98.512.5Compliant&lt; tr &gt; &lt; td &gt; A - 002 &lt; td&gt;MOF-Dual Site</w:t>
      </w:r>
    </w:p>
    <w:p>
      <w:pPr>
        <w:pStyle w:val="BodyText"/>
      </w:pPr>
      <w:r>
        <w:t xml:space="preserve">96.2</w:t>
      </w:r>
    </w:p>
    <w:p>
      <w:pPr>
        <w:pStyle w:val="BodyText"/>
      </w:pPr>
      <w:r>
        <w:t xml:space="preserve">97.8</w:t>
      </w:r>
    </w:p>
    <w:p>
      <w:pPr>
        <w:pStyle w:val="BodyText"/>
      </w:pPr>
      <w:r>
        <w:t xml:space="preserve">A-003|Traditional Zeolite|84.1|92.3|45.6</w:t>
      </w:r>
    </w:p>
    <w:bookmarkStart w:id="27" w:name="analysis-of-yield-efficiency"/>
    <w:p>
      <w:pPr>
        <w:pStyle w:val="Heading3"/>
      </w:pPr>
      <w:r>
        <w:t xml:space="preserve">4 . 1 Analysis of Yield Efficiency</w:t>
      </w:r>
    </w:p>
    <w:p>
      <w:pPr>
        <w:pStyle w:val="FirstParagraph"/>
      </w:pPr>
      <w:r>
        <w:t xml:space="preserve">The results indicate that the MOF-Catalyst system significantly outperformed traditional methods. Experiment A-001 achieved a yield of 98.5%, compared to 84.1% for the traditional zeolite method documented in earlier</w:t>
      </w:r>
      <w:r>
        <w:t xml:space="preserve"> </w:t>
      </w:r>
      <w:r>
        <w:rPr>
          <w:bCs/>
          <w:b/>
        </w:rPr>
        <w:t xml:space="preserve">Labor Report</w:t>
      </w:r>
      <w:r>
        <w:t xml:space="preserve">s from our partner facilities in</w:t>
      </w:r>
      <w:r>
        <w:t xml:space="preserve"> </w:t>
      </w:r>
      <w:r>
        <w:rPr>
          <w:bCs/>
          <w:b/>
        </w:rPr>
        <w:t xml:space="preserve">Japan Tokyo. This improvement is crucial for cost-effectiveness and sustainability, reducing the raw material footprint required per unit of product. Our lead &lt; strong &gt; Chemist attributes this to the high surface-area-to-volume ratio of the MOF structure, which enhances active site availability.</w:t>
      </w:r>
    </w:p>
    <w:bookmarkEnd w:id="27"/>
    <w:bookmarkStart w:id="28" w:name="environmental-impact-assessment"/>
    <w:p>
      <w:pPr>
        <w:pStyle w:val="Heading3"/>
      </w:pPr>
      <w:r>
        <w:t xml:space="preserve">4 . 2 Environmental Impact Assessment</w:t>
      </w:r>
    </w:p>
    <w:p>
      <w:pPr>
        <w:pStyle w:val="FirstParagraph"/>
      </w:pPr>
      <w:r>
        <w:t xml:space="preserve">Solvent usage was drastically reduced in the optimized experiments. The traditional method required nearly twice the amount of solvent compared to Experiment A-001.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, where waste management costs and environmental taxes are high, this reduction is economically advantageous and environmentally responsible. Every entry in our</w:t>
      </w:r>
      <w:r>
        <w:t xml:space="preserve"> </w:t>
      </w:r>
      <w:r>
        <w:rPr>
          <w:bCs/>
          <w:b/>
        </w:rPr>
        <w:t xml:space="preserve">Labor Report</w:t>
      </w:r>
      <w:r>
        <w:t xml:space="preserve"> </w:t>
      </w:r>
      <w:r>
        <w:t xml:space="preserve">now includes a dedicated section on solvent recovery rates, reflecting our commitment to the specific regulatory landscape of &lt; strong &gt; Japan Tokyo.</w:t>
      </w:r>
    </w:p>
    <w:bookmarkEnd w:id="28"/>
    <w:bookmarkStart w:id="29" w:name="purity-and-contaminant-profiling"/>
    <w:p>
      <w:pPr>
        <w:pStyle w:val="Heading3"/>
      </w:pPr>
      <w:r>
        <w:t xml:space="preserve">4 . 3 Purity and Contaminant Profiling</w:t>
      </w:r>
    </w:p>
    <w:p>
      <w:pPr>
        <w:pStyle w:val="FirstParagraph"/>
      </w:pPr>
      <w:r>
        <w:t xml:space="preserve">High-purity standards are non-negotiable in pharmaceutical applications. The purity levels observed in Experiment A-001 (98.5%) met all specifications required for further clinical testing stages approved by health authorities in</w:t>
      </w:r>
      <w:r>
        <w:t xml:space="preserve"> </w:t>
      </w:r>
      <w:r>
        <w:rPr>
          <w:bCs/>
          <w:b/>
        </w:rPr>
        <w:t xml:space="preserve">Japan Tokyo. Trace impurities identified were well below the threshold limits set forth in local pharmacopeias, ensuring that our products remain competitive and compliant.</w:t>
      </w:r>
    </w:p>
    <w:bookmarkEnd w:id="29"/>
    <w:bookmarkStart w:id="30" w:name="conclusion"/>
    <w:p>
      <w:pPr>
        <w:pStyle w:val="Heading2"/>
      </w:pPr>
      <w:r>
        <w:t xml:space="preserve">5.0 Conclusion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Labor Report</w:t>
      </w:r>
      <w:r>
        <w:t xml:space="preserve"> </w:t>
      </w:r>
      <w:r>
        <w:t xml:space="preserve">Chemist professionals demonstrates that high-efficiency manufacturing is achievable without compromising safety or regulatory compliance in</w:t>
      </w:r>
      <w:r>
        <w:t xml:space="preserve"> </w:t>
      </w:r>
      <w:r>
        <w:rPr>
          <w:bCs/>
          <w:b/>
        </w:rPr>
        <w:t xml:space="preserve">Japan Tokyo.</w:t>
      </w:r>
      <w:r>
        <w:rPr>
          <w:bCs/>
          <w:b/>
        </w:rPr>
        <w:t xml:space="preserve"> </w:t>
      </w:r>
      <w:r>
        <w:rPr>
          <w:bCs/>
          <w:b/>
        </w:rPr>
        <w:t xml:space="preserve">Key takeaways include:</w:t>
      </w:r>
      <w:r>
        <w:rPr>
          <w:bCs/>
          <w:b/>
        </w:rPr>
        <w:t xml:space="preserve"> </w:t>
      </w:r>
      <w:r>
        <w:rPr>
          <w:bCs/>
          <w:b/>
        </w:rPr>
        <w:t xml:space="preserve">1. Enhanced yields (&gt;98%) using MOF catalysts compared to traditional zeolites.</w:t>
      </w:r>
      <w:r>
        <w:rPr>
          <w:bCs/>
          <w:b/>
        </w:rPr>
        <w:t xml:space="preserve"> </w:t>
      </w:r>
      <w:r>
        <w:rPr>
          <w:bCs/>
          <w:b/>
        </w:rPr>
        <w:t xml:space="preserve">2. Significant reduction in solvent consumption, aligning with green chemistry goals and local regulations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Japan Tokyo.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3. Strict adherence to documentation standards ensures transparency and accountability in every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Labor Report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Chemist team will remain central to navigating the complex regulatory and technical challenges present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Japan Tokyo.</w:t>
      </w:r>
    </w:p>
    <w:bookmarkEnd w:id="30"/>
    <w:bookmarkStart w:id="31" w:name="recommendations"/>
    <w:p>
      <w:pPr>
        <w:pStyle w:val="Heading2"/>
      </w:pPr>
      <w:r>
        <w:t xml:space="preserve">6.0 Recommendations</w:t>
      </w:r>
    </w:p>
    <w:p>
      <w:pPr>
        <w:pStyle w:val="FirstParagraph"/>
      </w:pPr>
      <w:r>
        <w:t xml:space="preserve">Based on these findings, it is recommended that:</w:t>
      </w:r>
      <w:r>
        <w:t xml:space="preserve"> </w:t>
      </w:r>
      <w:r>
        <w:t xml:space="preserve">- Immediate implementation of MOF-Catalyst A for pilot-scale production in our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facility.</w:t>
      </w:r>
      <w:r>
        <w:t xml:space="preserve"> </w:t>
      </w:r>
      <w:r>
        <w:t xml:space="preserve">- Further training for junior staff on the new analytical protocols to ensure consistency across all future</w:t>
      </w:r>
      <w:r>
        <w:t xml:space="preserve"> </w:t>
      </w:r>
      <w:r>
        <w:rPr>
          <w:bCs/>
          <w:b/>
        </w:rPr>
        <w:t xml:space="preserve">Labor Report</w:t>
      </w:r>
      <w:r>
        <w:t xml:space="preserve"> </w:t>
      </w:r>
      <w:r>
        <w:t xml:space="preserve">Japan Tokyo to stay ahead of evolving regulatory frameworks affecting chemical manufacturing.</w:t>
      </w:r>
    </w:p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Name: Dr. Hiroshi Tanaka, Lead Chemist</w:t>
      </w:r>
    </w:p>
    <w:p>
      <w:pPr>
        <w:pStyle w:val="BodyText"/>
      </w:pPr>
      <w:r>
        <w:t xml:space="preserve">Title: Senior Research Scientist</w:t>
      </w:r>
    </w:p>
    <w:p>
      <w:pPr>
        <w:pStyle w:val="BodyText"/>
      </w:pPr>
      <w:r>
        <w:t xml:space="preserve">Facility: Central Research Lab, Japan Tokyo</w:t>
      </w:r>
      <w:r>
        <w:t xml:space="preserve"> </w:t>
      </w:r>
      <w:r>
        <w:t xml:space="preserve">&lt; hr / &gt;</w:t>
      </w:r>
    </w:p>
    <w:p>
      <w:pPr>
        <w:pStyle w:val="BodyText"/>
      </w:pPr>
      <w:r>
        <w:t xml:space="preserve">© 2023 Chemical Research Institute. All Rights Reserved.</w:t>
      </w:r>
      <w:r>
        <w:br/>
      </w:r>
      <w:r>
        <w:t xml:space="preserve">This document is a confidential Laboratory Report intended for internal review and regulatory submission in Japan Tokyo.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Laboratory Report: Advanced Chemical Analysis in Japan Tokyo</dc:title>
  <dc:creator/>
  <dc:language>en</dc:language>
  <cp:keywords/>
  <dcterms:created xsi:type="dcterms:W3CDTF">2026-07-29T11:38:05Z</dcterms:created>
  <dcterms:modified xsi:type="dcterms:W3CDTF">2026-07-29T11:38:05Z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