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Compliance</w:t>
      </w:r>
      <w:r>
        <w:t xml:space="preserve"> </w:t>
      </w:r>
      <w:r>
        <w:t xml:space="preserve">Protocols</w:t>
      </w:r>
    </w:p>
    <w:p>
      <w:pPr>
        <w:pStyle w:val="FirstParagraph"/>
      </w:pPr>
      <w:r>
        <w:rPr>
          <w:bCs/>
          <w:b/>
        </w:rPr>
        <w:t xml:space="preserve">Laboratory Report ID:</w:t>
      </w:r>
      <w:r>
        <w:br/>
      </w:r>
      <w:r>
        <w:t xml:space="preserve">NL-AMS-2023-X99</w:t>
      </w:r>
      <w:r>
        <w:br/>
      </w:r>
      <w:r>
        <w:br/>
      </w:r>
      <w:r>
        <w:rPr>
          <w:bCs/>
          <w:b/>
        </w:rPr>
        <w:t xml:space="preserve">Date of Analysis:</w:t>
      </w:r>
      <w:r>
        <w:br/>
      </w:r>
      <w:r>
        <w:t xml:space="preserve">October 24, 2023</w:t>
      </w:r>
      <w:r>
        <w:br/>
      </w:r>
      <w:r>
        <w:br/>
      </w:r>
      <w:r>
        <w:rPr>
          <w:bCs/>
          <w:b/>
        </w:rPr>
        <w:t xml:space="preserve">Facility Location:</w:t>
      </w:r>
      <w:r>
        <w:br/>
      </w:r>
      <w:r>
        <w:t xml:space="preserve">Netherlands Amsterdam</w:t>
      </w:r>
    </w:p>
    <w:p>
      <w:pPr>
        <w:pStyle w:val="BodyText"/>
      </w:pPr>
      <w:r>
        <w:rPr>
          <w:bCs/>
          <w:b/>
        </w:rPr>
        <w:t xml:space="preserve">Clinical/Industrial Client:</w:t>
      </w:r>
      <w:r>
        <w:br/>
      </w:r>
      <w:r>
        <w:t xml:space="preserve">Amsterdam Bio-Health Consortium</w:t>
      </w:r>
      <w:r>
        <w:br/>
      </w:r>
      <w:r>
        <w:br/>
      </w:r>
      <w:r>
        <w:rPr>
          <w:bCs/>
          <w:b/>
        </w:rPr>
        <w:t xml:space="preserve">Patient/Sample ID:</w:t>
      </w:r>
      <w:r>
        <w:br/>
      </w:r>
      <w:r>
        <w:t xml:space="preserve">SAMPLE-A77-B2</w:t>
      </w:r>
      <w:r>
        <w:br/>
      </w:r>
      <w:r>
        <w:br/>
      </w:r>
      <w:r>
        <w:rPr>
          <w:bCs/>
          <w:b/>
        </w:rPr>
        <w:t xml:space="preserve">Type of Sample:</w:t>
      </w:r>
      <w:r>
        <w:br/>
      </w:r>
      <w:r>
        <w:t xml:space="preserve">Blood Plasma &amp; Environmental Swabs</w:t>
      </w:r>
    </w:p>
    <w:bookmarkStart w:id="26" w:name="laboratory-report"/>
    <w:p>
      <w:pPr>
        <w:pStyle w:val="Heading1"/>
      </w:pPr>
      <w:r>
        <w:t xml:space="preserve">Laboratory Report</w:t>
      </w:r>
    </w:p>
    <w:p>
      <w:pPr>
        <w:pStyle w:val="FirstParagraph"/>
      </w:pPr>
      <w:r>
        <w:t xml:space="preserve">This document serves as an official and comprehensive Laboratory Report generated by the accredited chemical analysis facility. It details the findings derived from rigorous spectroscopic and chromatographic analyses conducted in accordance with international safety standards. The primary objective of this investigation was to determine the concentration levels of specific pharmaceutical compounds and potential environmental contaminants within the supplied samples. All procedures were executed under strict supervision by a senior Chemist, ensuring that every step adhered to Good Laboratory Practice (GLP) guidelines mandated for operations within the Netherlands Amsterdam region.</w:t>
      </w:r>
    </w:p>
    <w:bookmarkStart w:id="20" w:name="introduction"/>
    <w:p>
      <w:pPr>
        <w:pStyle w:val="Heading2"/>
      </w:pPr>
      <w:r>
        <w:t xml:space="preserve">1. Introduction</w:t>
      </w:r>
    </w:p>
    <w:p>
      <w:pPr>
        <w:pStyle w:val="FirstParagraph"/>
      </w:pPr>
      <w:r>
        <w:t xml:space="preserve">The scope of this Laboratory Report encompasses the quantitative and qualitative assessment of biological and environmental specimens. The location, Netherlands Amsterdam, presents a unique regulatory environment governed by both European Union directives and local Dutch health authorities. Consequently, the protocols utilized in this study were specifically adapted to meet these stringent requirements. A qualified Chemist was assigned to oversee the entire analytical process, from sample receipt to final data interpretation. This role is critical in ensuring that the integrity of the Laboratory Report is maintained and that all findings are scientifically valid and legally defensible.</w:t>
      </w:r>
    </w:p>
    <w:bookmarkEnd w:id="20"/>
    <w:bookmarkStart w:id="21" w:name="methodology"/>
    <w:p>
      <w:pPr>
        <w:pStyle w:val="Heading2"/>
      </w:pPr>
      <w:r>
        <w:t xml:space="preserve">2. Methodology</w:t>
      </w:r>
    </w:p>
    <w:p>
      <w:pPr>
        <w:pStyle w:val="FirstParagraph"/>
      </w:pPr>
      <w:r>
        <w:t xml:space="preserve">The analytical methods employed in this study include High-Performance Liquid Chromatography (HPLC) coupled with Mass Spectrometry (MS). This combination is widely regarded as the gold standard for detecting trace amounts of organic compounds. Prior to analysis, all samples underwent a rigorous preparation phase involving solid-phase extraction to isolate target analytes. The Chemist responsible for this operation ensured that all glassware was free from contamination and that reagents met the highest purity standards available in Netherlands Amsterdam laboratories.</w:t>
      </w:r>
    </w:p>
    <w:p>
      <w:pPr>
        <w:pStyle w:val="BodyText"/>
      </w:pPr>
      <w:r>
        <w:t xml:space="preserve">Quality control measures were integrated throughout the testing process. Blank samples, positive controls, and duplicate analyses were run alongside patient or environmental samples to validate accuracy and precision. The data obtained was cross-referenced with standard calibration curves prepared using certified reference materials. This multi-layered approach guarantees that the Laboratory Report reflects true conditions rather than artifacts of the analytical process.</w:t>
      </w:r>
    </w:p>
    <w:bookmarkEnd w:id="21"/>
    <w:bookmarkStart w:id="22" w:name="results"/>
    <w:p>
      <w:pPr>
        <w:pStyle w:val="Heading2"/>
      </w:pPr>
      <w:r>
        <w:t xml:space="preserve">3. Results</w:t>
      </w:r>
    </w:p>
    <w:p>
      <w:pPr>
        <w:pStyle w:val="FirstParagraph"/>
      </w:pPr>
      <w:r>
        <w:t xml:space="preserve">The following table summarizes the key findings presented in this Laboratory Report. All concentrations are reported in micrograms per liter (µg/L), with detection limits established by the Chemist based on instrument sensitivity.</w:t>
      </w:r>
    </w:p>
    <w:p>
      <w:pPr>
        <w:pStyle w:val="BodyText"/>
      </w:pPr>
      <w:r>
        <w:t xml:space="preserve">Analyte</w:t>
      </w:r>
    </w:p>
    <w:p>
      <w:pPr>
        <w:pStyle w:val="BodyText"/>
      </w:pPr>
      <w:r>
        <w:t xml:space="preserve">Detection Limit (µg/L)</w:t>
      </w:r>
    </w:p>
    <w:p>
      <w:pPr>
        <w:pStyle w:val="BodyText"/>
      </w:pPr>
      <w:r>
        <w:t xml:space="preserve">Finding (µg/L)</w:t>
      </w:r>
    </w:p>
    <w:p>
      <w:pPr>
        <w:pStyle w:val="BodyText"/>
      </w:pPr>
      <w:r>
        <w:t xml:space="preserve">Status</w:t>
      </w:r>
    </w:p>
    <w:p>
      <w:pPr>
        <w:pStyle w:val="BodyText"/>
      </w:pPr>
      <w:r>
        <w:t xml:space="preserve">Ibuprofen</w:t>
      </w:r>
    </w:p>
    <w:p>
      <w:pPr>
        <w:pStyle w:val="BodyText"/>
      </w:pPr>
      <w:r>
        <w:t xml:space="preserve">&lt; 0.50</w:t>
      </w:r>
    </w:p>
    <w:p>
      <w:pPr>
        <w:pStyle w:val="BodyText"/>
      </w:pPr>
      <w:r>
        <w:t xml:space="preserve">12.34 ± 0.89</w:t>
      </w:r>
    </w:p>
    <w:p>
      <w:pPr>
        <w:pStyle w:val="BodyText"/>
      </w:pPr>
      <w:r>
        <w:t xml:space="preserve">&lt;</w:t>
      </w:r>
    </w:p>
    <w:p>
      <w:pPr>
        <w:pStyle w:val="BodyText"/>
      </w:pPr>
      <w:r>
        <w:t xml:space="preserve">Detected</w:t>
      </w:r>
    </w:p>
    <w:p>
      <w:pPr>
        <w:pStyle w:val="BodyText"/>
      </w:pPr>
      <w:r>
        <w:t xml:space="preserve">The results indicate the presence of several active pharmaceutical ingredients and metabolites in the tested samples. The Chemist noted that while most compounds fell within expected therapeutic or environmental ranges, certain trace elements exceeded background levels typically observed in Netherlands Amsterdam municipal water systems. These anomalies require further investigation to determine their source and potential impact.</w:t>
      </w:r>
    </w:p>
    <w:bookmarkEnd w:id="22"/>
    <w:bookmarkStart w:id="23" w:name="discussion"/>
    <w:p>
      <w:pPr>
        <w:pStyle w:val="Heading2"/>
      </w:pPr>
      <w:r>
        <w:t xml:space="preserve">4. Discussion</w:t>
      </w:r>
    </w:p>
    <w:p>
      <w:pPr>
        <w:pStyle w:val="FirstParagraph"/>
      </w:pPr>
      <w:r>
        <w:t xml:space="preserve">The discussion section of this Laboratory Report interprets the raw data in a clinical and environmental context. The presence of elevated levels of specific metabolites suggests recent exposure or incomplete metabolism within biological systems. From an environmental perspective, the detection of these compounds in water samples highlights ongoing challenges related to wastewater treatment efficiency. As a Chemist specializing in environmental toxicology, I must emphasize that the regulatory framework in Netherlands Amsterdam is particularly sensitive to such findings due to the high population density and advanced infrastructure.</w:t>
      </w:r>
    </w:p>
    <w:p>
      <w:pPr>
        <w:pStyle w:val="BodyText"/>
      </w:pPr>
      <w:r>
        <w:t xml:space="preserve">Furthermore, this Laboratory Report highlights the importance of continuous monitoring. The variations observed between samples collected at different times suggest temporal fluctuations in contaminant levels. This variability underscores the need for regular sampling intervals rather than one-off assessments. The Chemist recommends implementing a quarterly testing schedule to track trends over time, which would provide more robust data for public health officials and environmental agencies.</w:t>
      </w:r>
    </w:p>
    <w:bookmarkEnd w:id="23"/>
    <w:bookmarkStart w:id="24" w:name="conclusion"/>
    <w:p>
      <w:pPr>
        <w:pStyle w:val="Heading2"/>
      </w:pPr>
      <w:r>
        <w:t xml:space="preserve">5. Conclusion</w:t>
      </w:r>
    </w:p>
    <w:p>
      <w:pPr>
        <w:pStyle w:val="FirstParagraph"/>
      </w:pPr>
      <w:r>
        <w:t xml:space="preserve">In conclusion, this Laboratory Report provides a detailed account of the chemical composition of the analyzed samples. The rigorous methods employed by our team ensure that these findings are reliable and reproducible. The role of the Chemist was pivotal in navigating complex data sets and applying appropriate statistical analyses to derive meaningful conclusions. Operating within Netherlands Amsterdam requires a heightened awareness of local environmental conditions, which has been thoroughly considered in this assessment.</w:t>
      </w:r>
    </w:p>
    <w:p>
      <w:pPr>
        <w:pStyle w:val="BodyText"/>
      </w:pPr>
      <w:r>
        <w:t xml:space="preserve">The detected contaminants, while generally within safe limits for immediate consumption or exposure, warrant attention regarding long-term ecological impacts. It is our professional opinion that the data presented here should be used to inform policy decisions and public health strategies. Future studies should focus on identifying specific sources of these chemical residues to mitigate their presence effectively.</w:t>
      </w:r>
    </w:p>
    <w:bookmarkEnd w:id="24"/>
    <w:bookmarkStart w:id="25" w:name="recommendations"/>
    <w:p>
      <w:pPr>
        <w:pStyle w:val="Heading2"/>
      </w:pPr>
      <w:r>
        <w:t xml:space="preserve">6. Recommendations</w:t>
      </w:r>
    </w:p>
    <w:p>
      <w:pPr>
        <w:pStyle w:val="FirstParagraph"/>
      </w:pPr>
      <w:r>
        <w:rPr>
          <w:bCs/>
          <w:b/>
        </w:rPr>
        <w:t xml:space="preserve">Ongoing Monitoring:</w:t>
      </w:r>
      <w:r>
        <w:br/>
      </w:r>
      <w:r>
        <w:t xml:space="preserve">We recommend continuous surveillance of the identified contaminants, particularly in areas near wastewater discharge points in Netherlands Amsterdam.</w:t>
      </w:r>
    </w:p>
    <w:p>
      <w:pPr>
        <w:pStyle w:val="BodyText"/>
      </w:pPr>
      <w:r>
        <w:rPr>
          <w:bCs/>
          <w:b/>
        </w:rPr>
        <w:t xml:space="preserve">Risk Assessment:</w:t>
      </w:r>
      <w:r>
        <w:br/>
      </w:r>
      <w:r>
        <w:rPr>
          <w:bCs/>
          <w:b/>
        </w:rPr>
        <w:t xml:space="preserve">A comprehensive risk assessment should be conducted by a certified Chemist to evaluate potential long-term health effects based on these exposure levels.</w:t>
      </w:r>
    </w:p>
    <w:p>
      <w:pPr>
        <w:numPr>
          <w:ilvl w:val="0"/>
          <w:numId w:val="1001"/>
        </w:numPr>
        <w:pStyle w:val="Compact"/>
      </w:pPr>
      <w:r>
        <w:t xml:space="preserve">Data Sharing:</w:t>
      </w:r>
      <w:r>
        <w:br/>
      </w:r>
      <w:r>
        <w:t xml:space="preserve">This Laboratory Report should be shared with relevant environmental agencies in Netherlands Amsterdam to contribute to broader scientific understanding and regulatory updates.</w:t>
      </w:r>
    </w:p>
    <w:p>
      <w:pPr>
        <w:numPr>
          <w:ilvl w:val="0"/>
          <w:numId w:val="1001"/>
        </w:numPr>
        <w:pStyle w:val="Compact"/>
      </w:pPr>
      <w:r>
        <w:t xml:space="preserve">Sampling Expansion:</w:t>
      </w:r>
      <w:r>
        <w:br/>
      </w:r>
      <w:r>
        <w:t xml:space="preserve">To enhance the scope of this study, we propose expanding the sampling area to include rural outskirts surrounding Netherlands Amsterdam for comparative analysis.</w:t>
      </w:r>
    </w:p>
    <w:p>
      <w:pPr>
        <w:pStyle w:val="FirstParagraph"/>
      </w:pPr>
      <w:r>
        <w:rPr>
          <w:bCs/>
          <w:b/>
        </w:rPr>
        <w:t xml:space="preserve">Signed by:</w:t>
      </w:r>
    </w:p>
    <w:p>
      <w:pPr>
        <w:pStyle w:val="BodyText"/>
      </w:pPr>
      <w:r>
        <w:rPr>
          <w:iCs/>
          <w:i/>
        </w:rPr>
        <w:t xml:space="preserve">J. van der Berg, Senior Chemist</w:t>
      </w:r>
    </w:p>
    <w:p>
      <w:pPr>
        <w:pStyle w:val="BodyText"/>
      </w:pPr>
      <w:r>
        <w:br/>
      </w:r>
    </w:p>
    <w:p>
      <w:pPr>
        <w:pStyle w:val="BodyText"/>
      </w:pPr>
      <w:r>
        <w:rPr>
          <w:bCs/>
          <w:b/>
        </w:rPr>
        <w:t xml:space="preserve">Laboratory Director: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Compliance Protocols</dc:title>
  <dc:creator/>
  <dc:language>en</dc:language>
  <cp:keywords/>
  <dcterms:created xsi:type="dcterms:W3CDTF">2026-07-29T08:32:56Z</dcterms:created>
  <dcterms:modified xsi:type="dcterms:W3CDTF">2026-07-29T08:32:56Z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