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Report:</w:t>
      </w:r>
      <w:r>
        <w:t xml:space="preserve"> </w:t>
      </w:r>
      <w:r>
        <w:t xml:space="preserve">Chemical</w:t>
      </w:r>
      <w:r>
        <w:t xml:space="preserve"> </w:t>
      </w:r>
      <w:r>
        <w:t xml:space="preserve">Assessment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24 May 2024</w:t>
      </w:r>
    </w:p>
    <w:p>
      <w:pPr>
        <w:pStyle w:val="BodyText"/>
      </w:pPr>
      <w:r>
        <w:rPr>
          <w:bCs/>
          <w:b/>
        </w:rPr>
        <w:t xml:space="preserve">To:</w:t>
      </w:r>
      <w:r>
        <w:t xml:space="preserve"> </w:t>
      </w:r>
      <w:r>
        <w:t xml:space="preserve">Auckland Council Environmental Health Department, New Zealand Auckland</w:t>
      </w:r>
    </w:p>
    <w:p>
      <w:pPr>
        <w:pStyle w:val="BodyText"/>
      </w:pPr>
      <w:r>
        <w:t xml:space="preserve">Tasman Analytical Laboratories Ltd.</w:t>
      </w:r>
    </w:p>
    <w:bookmarkStart w:id="33" w:name="Xdab010cbc61844096abafc70aa606934c7ed3c9"/>
    <w:p>
      <w:pPr>
        <w:pStyle w:val="Heading1"/>
      </w:pPr>
      <w:r>
        <w:t xml:space="preserve">Laboratory Analysis and Regulatory Compliance Report: Chemical Assessment in New Zealand Auckland</w:t>
      </w:r>
    </w:p>
    <w:bookmarkStart w:id="20" w:name="executive-summary"/>
    <w:p>
      <w:pPr>
        <w:pStyle w:val="Heading2"/>
      </w:pPr>
      <w:r>
        <w:t xml:space="preserve">1. Executive Summary</w:t>
      </w:r>
    </w:p>
    <w:p>
      <w:pPr>
        <w:pStyle w:val="FirstParagraph"/>
      </w:pPr>
      <w:r>
        <w:t xml:space="preserve">The primary objective of this document is to provide a comprehensive overview of chemical processing, safety protocols, and regulatory compliance standards associated with the operation of a</w:t>
      </w:r>
      <w:r>
        <w:t xml:space="preserve"> </w:t>
      </w:r>
      <w:r>
        <w:rPr>
          <w:bCs/>
          <w:b/>
        </w:rPr>
        <w:t xml:space="preserve">Chemist</w:t>
      </w:r>
      <w:r>
        <w:t xml:space="preserve">. This report has been specifically tailored to address the unique environmental, climatic, and legislative requirements found within</w:t>
      </w:r>
      <w:r>
        <w:t xml:space="preserve"> </w:t>
      </w:r>
      <w:r>
        <w:rPr>
          <w:bCs/>
          <w:b/>
        </w:rPr>
        <w:t xml:space="preserve">New Zealand Auckland</w:t>
      </w:r>
      <w:r>
        <w:t xml:space="preserve">. As an industrial hub in</w:t>
      </w:r>
      <w:r>
        <w:t xml:space="preserve"> </w:t>
      </w:r>
      <w:r>
        <w:rPr>
          <w:bCs/>
          <w:b/>
        </w:rPr>
        <w:t xml:space="preserve">New Zealand Auckland</w:t>
      </w:r>
      <w:r>
        <w:t xml:space="preserve">, the city demands rigorous adherence to chemical management practices. The findings indicate that proper training for staff and precise handling procedures are essential to maintaining public health safety standards defined by local authorities.</w:t>
      </w:r>
    </w:p>
    <w:bookmarkEnd w:id="20"/>
    <w:bookmarkStart w:id="21" w:name="introduction-and-scope"/>
    <w:p>
      <w:pPr>
        <w:pStyle w:val="Heading2"/>
      </w:pPr>
      <w:r>
        <w:t xml:space="preserve">2. Introduction and Scope</w:t>
      </w:r>
    </w:p>
    <w:p>
      <w:pPr>
        <w:pStyle w:val="FirstParagraph"/>
      </w:pPr>
      <w:r>
        <w:t xml:space="preserve">In the modern pharmaceutical industry, a</w:t>
      </w:r>
      <w:r>
        <w:t xml:space="preserve"> </w:t>
      </w:r>
      <w:r>
        <w:rPr>
          <w:bCs/>
          <w:b/>
        </w:rPr>
        <w:t xml:space="preserve">Chemist</w:t>
      </w:r>
      <w:r>
        <w:t xml:space="preserve"> </w:t>
      </w:r>
      <w:r>
        <w:t xml:space="preserve">serves not only as a dispenser of medication but also as a critical node in public health infrastructure. This report outlines the operational guidelines for chemical handling within retail and industrial settings located in</w:t>
      </w:r>
      <w:r>
        <w:t xml:space="preserve"> </w:t>
      </w:r>
      <w:r>
        <w:rPr>
          <w:bCs/>
          <w:b/>
        </w:rPr>
        <w:t xml:space="preserve">New Zealand Auckland</w:t>
      </w:r>
      <w:r>
        <w:t xml:space="preserve">. The scope covers storage protocols, waste management, and staff competency requirements. Given the high population density of</w:t>
      </w:r>
      <w:r>
        <w:t xml:space="preserve"> </w:t>
      </w:r>
      <w:r>
        <w:rPr>
          <w:bCs/>
          <w:b/>
        </w:rPr>
        <w:t xml:space="preserve">New Zealand Auckland</w:t>
      </w:r>
      <w:r>
        <w:t xml:space="preserve">, the potential risks associated with improper chemical management are elevated, necessitating stricter oversight than regional areas.</w:t>
      </w:r>
      <w:r>
        <w:t xml:space="preserve"> </w:t>
      </w:r>
      <w:r>
        <w:t xml:space="preserve">The term "</w:t>
      </w:r>
      <w:r>
        <w:rPr>
          <w:iCs/>
          <w:i/>
        </w:rPr>
        <w:t xml:space="preserve">Lab Report</w:t>
      </w:r>
      <w:r>
        <w:t xml:space="preserve">" in this context refers to the detailed documentation required when discrepancies arise during stock checks or when environmental samples are taken near</w:t>
      </w:r>
      <w:r>
        <w:t xml:space="preserve"> </w:t>
      </w:r>
      <w:r>
        <w:rPr>
          <w:bCs/>
          <w:b/>
        </w:rPr>
        <w:t xml:space="preserve">Chemist</w:t>
      </w:r>
      <w:r>
        <w:t xml:space="preserve"> </w:t>
      </w:r>
      <w:r>
        <w:t xml:space="preserve">premises in</w:t>
      </w:r>
      <w:r>
        <w:t xml:space="preserve"> </w:t>
      </w:r>
      <w:r>
        <w:rPr>
          <w:bCs/>
          <w:b/>
        </w:rPr>
        <w:t xml:space="preserve">New Zealand Auckland</w:t>
      </w:r>
      <w:r>
        <w:t xml:space="preserve">. This document serves as both a guideline for future operations and a retrospective analysis of current safety measures.</w:t>
      </w:r>
    </w:p>
    <w:bookmarkEnd w:id="21"/>
    <w:bookmarkStart w:id="24" w:name="X7a0169018ab3202de99a734bd306d6a9245cb29"/>
    <w:p>
      <w:pPr>
        <w:pStyle w:val="Heading2"/>
      </w:pPr>
      <w:r>
        <w:t xml:space="preserve">3. Regulatory Framework in New Zealand Auckland</w:t>
      </w:r>
    </w:p>
    <w:p>
      <w:pPr>
        <w:pStyle w:val="FirstParagraph"/>
      </w:pPr>
      <w:r>
        <w:t xml:space="preserve">Compliance is the cornerstone of any successful</w:t>
      </w:r>
      <w:r>
        <w:t xml:space="preserve"> </w:t>
      </w:r>
      <w:r>
        <w:rPr>
          <w:bCs/>
          <w:b/>
        </w:rPr>
        <w:t xml:space="preserve">Chemist</w:t>
      </w:r>
      <w:r>
        <w:t xml:space="preserve"> </w:t>
      </w:r>
      <w:r>
        <w:t xml:space="preserve">operation. In</w:t>
      </w:r>
      <w:r>
        <w:t xml:space="preserve"> </w:t>
      </w:r>
      <w:r>
        <w:rPr>
          <w:bCs/>
          <w:b/>
        </w:rPr>
        <w:t xml:space="preserve">New Zealand Auckland</w:t>
      </w:r>
      <w:r>
        <w:t xml:space="preserve">, facilities must adhere to strict regulations set forth by the Ministry for Environment and WorkSafe NZ. The Hazardous Substances and New Organisms Act (HSNO) is particularly relevant to all chemical handlers in this region.</w:t>
      </w:r>
    </w:p>
    <w:bookmarkStart w:id="22" w:name="environmental-impact"/>
    <w:p>
      <w:pPr>
        <w:pStyle w:val="Heading3"/>
      </w:pPr>
      <w:r>
        <w:t xml:space="preserve">3.1 Environmental Impact</w:t>
      </w:r>
    </w:p>
    <w:p>
      <w:pPr>
        <w:pStyle w:val="FirstParagraph"/>
      </w:pPr>
      <w:r>
        <w:t xml:space="preserve">The geography of</w:t>
      </w:r>
      <w:r>
        <w:t xml:space="preserve"> </w:t>
      </w:r>
      <w:r>
        <w:rPr>
          <w:bCs/>
          <w:b/>
        </w:rPr>
        <w:t xml:space="preserve">New Zealand Auckland</w:t>
      </w:r>
      <w:r>
        <w:t xml:space="preserve">, characterized by its extensive harbor systems and volcanic soil, requires special attention to chemical runoff and disposal. A</w:t>
      </w:r>
      <w:r>
        <w:t xml:space="preserve"> </w:t>
      </w:r>
      <w:r>
        <w:rPr>
          <w:bCs/>
          <w:b/>
        </w:rPr>
        <w:t xml:space="preserve">Chemist</w:t>
      </w:r>
      <w:r>
        <w:t xml:space="preserve"> </w:t>
      </w:r>
      <w:r>
        <w:t xml:space="preserve">located in this district must ensure that no hazardous materials enter the stormwater systems. This report highlights recent audits conducted in</w:t>
      </w:r>
      <w:r>
        <w:t xml:space="preserve"> </w:t>
      </w:r>
      <w:r>
        <w:rPr>
          <w:bCs/>
          <w:b/>
        </w:rPr>
        <w:t xml:space="preserve">New Zealand Auckland</w:t>
      </w:r>
      <w:r>
        <w:t xml:space="preserve"> </w:t>
      </w:r>
      <w:r>
        <w:t xml:space="preserve">which revealed that improved filtration systems at the point of discharge significantly reduce environmental impact.</w:t>
      </w:r>
    </w:p>
    <w:bookmarkEnd w:id="22"/>
    <w:bookmarkStart w:id="23" w:name="safety-standards-for-chemists"/>
    <w:p>
      <w:pPr>
        <w:pStyle w:val="Heading3"/>
      </w:pPr>
      <w:r>
        <w:t xml:space="preserve">3.2 Safety Standards for Chemists</w:t>
      </w:r>
    </w:p>
    <w:p>
      <w:pPr>
        <w:pStyle w:val="FirstParagraph"/>
      </w:pPr>
      <w:r>
        <w:t xml:space="preserve">Staff operating within a</w:t>
      </w:r>
      <w:r>
        <w:t xml:space="preserve"> </w:t>
      </w:r>
      <w:r>
        <w:rPr>
          <w:bCs/>
          <w:b/>
        </w:rPr>
        <w:t xml:space="preserve">Chemist</w:t>
      </w:r>
      <w:r>
        <w:t xml:space="preserve"> </w:t>
      </w:r>
      <w:r>
        <w:t xml:space="preserve">must be certified in handling hazardous substances. In</w:t>
      </w:r>
      <w:r>
        <w:t xml:space="preserve"> </w:t>
      </w:r>
      <w:r>
        <w:rPr>
          <w:bCs/>
          <w:b/>
        </w:rPr>
        <w:t xml:space="preserve">New Zealand Auckland</w:t>
      </w:r>
      <w:r>
        <w:t xml:space="preserve">, local health boards mandate annual safety drills. These drills simulate scenarios such as chemical spills or exposure incidents, ensuring that the workforce remains vigilant and prepared. The integration of digital tracking systems has also been recommended to monitor stock levels of controlled chemicals in real-time, a practice now widely adopted by forward-thinking</w:t>
      </w:r>
      <w:r>
        <w:t xml:space="preserve"> </w:t>
      </w:r>
      <w:r>
        <w:rPr>
          <w:bCs/>
          <w:b/>
        </w:rPr>
        <w:t xml:space="preserve">Chemists</w:t>
      </w:r>
      <w:r>
        <w:t xml:space="preserve"> </w:t>
      </w:r>
      <w:r>
        <w:t xml:space="preserve">across</w:t>
      </w:r>
      <w:r>
        <w:t xml:space="preserve"> </w:t>
      </w:r>
      <w:r>
        <w:rPr>
          <w:bCs/>
          <w:b/>
        </w:rPr>
        <w:t xml:space="preserve">New Zealand Auckland</w:t>
      </w:r>
      <w:r>
        <w:t xml:space="preserve">.</w:t>
      </w:r>
    </w:p>
    <w:bookmarkEnd w:id="23"/>
    <w:bookmarkEnd w:id="24"/>
    <w:bookmarkStart w:id="27" w:name="laboratory-analysis-procedures"/>
    <w:p>
      <w:pPr>
        <w:pStyle w:val="Heading2"/>
      </w:pPr>
      <w:r>
        <w:t xml:space="preserve">4. Laboratory Analysis Procedures</w:t>
      </w:r>
    </w:p>
    <w:p>
      <w:pPr>
        <w:pStyle w:val="FirstParagraph"/>
      </w:pPr>
      <w:r>
        <w:t xml:space="preserve">A detailed</w:t>
      </w:r>
      <w:r>
        <w:t xml:space="preserve"> </w:t>
      </w:r>
      <w:r>
        <w:rPr>
          <w:iCs/>
          <w:i/>
        </w:rPr>
        <w:t xml:space="preserve">Lab Report</w:t>
      </w:r>
      <w:r>
        <w:t xml:space="preserve"> </w:t>
      </w:r>
      <w:r>
        <w:t xml:space="preserve">is generated whenever analytical testing is required. This section outlines the standard operating procedures (SOPs) for conducting chemical analysis in a laboratory setting adjacent to or integrated within a</w:t>
      </w:r>
      <w:r>
        <w:t xml:space="preserve"> </w:t>
      </w:r>
      <w:r>
        <w:rPr>
          <w:bCs/>
          <w:b/>
        </w:rPr>
        <w:t xml:space="preserve">Chemist</w:t>
      </w:r>
      <w:r>
        <w:t xml:space="preserve">.</w:t>
      </w:r>
    </w:p>
    <w:bookmarkStart w:id="25" w:name="sample-collection-and-preservation"/>
    <w:p>
      <w:pPr>
        <w:pStyle w:val="Heading3"/>
      </w:pPr>
      <w:r>
        <w:t xml:space="preserve">4.1 Sample Collection and Preservation</w:t>
      </w:r>
    </w:p>
    <w:p>
      <w:pPr>
        <w:pStyle w:val="FirstParagraph"/>
      </w:pPr>
      <w:r>
        <w:t xml:space="preserve">Samples collected for analysis, particularly those related to water quality testing near industrial</w:t>
      </w:r>
      <w:r>
        <w:t xml:space="preserve"> </w:t>
      </w:r>
      <w:r>
        <w:rPr>
          <w:bCs/>
          <w:b/>
        </w:rPr>
        <w:t xml:space="preserve">Chemists</w:t>
      </w:r>
      <w:r>
        <w:t xml:space="preserve">, must be preserved immediately upon collection. In the humid climate of</w:t>
      </w:r>
      <w:r>
        <w:t xml:space="preserve"> </w:t>
      </w:r>
      <w:r>
        <w:rPr>
          <w:bCs/>
          <w:b/>
        </w:rPr>
        <w:t xml:space="preserve">New Zealand Auckland</w:t>
      </w:r>
      <w:r>
        <w:t xml:space="preserve">, sample degradation can occur rapidly if not stored correctly. Protocols dictate the use of specific preservative agents and temperature-controlled storage units (ideally at 4°C) to maintain sample integrity until analysis is complete.</w:t>
      </w:r>
    </w:p>
    <w:bookmarkEnd w:id="25"/>
    <w:bookmarkStart w:id="26" w:name="analytical-methods"/>
    <w:p>
      <w:pPr>
        <w:pStyle w:val="Heading3"/>
      </w:pPr>
      <w:r>
        <w:t xml:space="preserve">4.2 Analytical Methods</w:t>
      </w:r>
    </w:p>
    <w:p>
      <w:pPr>
        <w:pStyle w:val="FirstParagraph"/>
      </w:pPr>
      <w:r>
        <w:t xml:space="preserve">The following analytical methods are recommended for assessing chemical purity and contamination in pharmaceutical products handled by a</w:t>
      </w:r>
      <w:r>
        <w:t xml:space="preserve"> </w:t>
      </w:r>
      <w:r>
        <w:rPr>
          <w:bCs/>
          <w:b/>
        </w:rPr>
        <w:t xml:space="preserve">Chemist</w:t>
      </w:r>
      <w:r>
        <w:t xml:space="preserve">:</w:t>
      </w:r>
    </w:p>
    <w:p>
      <w:pPr>
        <w:numPr>
          <w:ilvl w:val="0"/>
          <w:numId w:val="1001"/>
        </w:numPr>
        <w:pStyle w:val="Compact"/>
      </w:pPr>
      <w:r>
        <w:rPr>
          <w:bCs/>
          <w:b/>
        </w:rPr>
        <w:t xml:space="preserve">HPLC (High-Performance Liquid Chromatography):</w:t>
      </w:r>
      <w:r>
        <w:t xml:space="preserve"> </w:t>
      </w:r>
      <w:r>
        <w:t xml:space="preserve">Used for separating, identifying, and quantifying components in complex mixtures. This is critical for verifying the potency of drugs dispensed by a</w:t>
      </w:r>
      <w:r>
        <w:t xml:space="preserve"> </w:t>
      </w:r>
      <w:r>
        <w:rPr>
          <w:bCs/>
          <w:b/>
        </w:rPr>
        <w:t xml:space="preserve">Chemist</w:t>
      </w:r>
      <w:r>
        <w:t xml:space="preserve">.</w:t>
      </w:r>
    </w:p>
    <w:p>
      <w:pPr>
        <w:numPr>
          <w:ilvl w:val="0"/>
          <w:numId w:val="1001"/>
        </w:numPr>
        <w:pStyle w:val="Compact"/>
      </w:pPr>
      <w:r>
        <w:rPr>
          <w:bCs/>
          <w:b/>
        </w:rPr>
        <w:t xml:space="preserve">Spectrophotometry:</w:t>
      </w:r>
      <w:r>
        <w:t xml:space="preserve"> </w:t>
      </w:r>
      <w:r>
        <w:t xml:space="preserve">Essential for determining the concentration of specific chemicals. This method is frequently cited in our internal</w:t>
      </w:r>
      <w:r>
        <w:t xml:space="preserve"> </w:t>
      </w:r>
      <w:r>
        <w:rPr>
          <w:iCs/>
          <w:i/>
        </w:rPr>
        <w:t xml:space="preserve">Lab Report</w:t>
      </w:r>
      <w:r>
        <w:t xml:space="preserve">s when assessing batch consistency.</w:t>
      </w:r>
    </w:p>
    <w:p>
      <w:pPr>
        <w:numPr>
          <w:ilvl w:val="0"/>
          <w:numId w:val="1001"/>
        </w:numPr>
        <w:pStyle w:val="Compact"/>
      </w:pPr>
      <w:r>
        <w:rPr>
          <w:bCs/>
          <w:b/>
        </w:rPr>
        <w:t xml:space="preserve">pH Testing:</w:t>
      </w:r>
      <w:r>
        <w:t xml:space="preserve"> </w:t>
      </w:r>
      <w:r>
        <w:t xml:space="preserve">Critical for ensuring that topical preparations and injectables are within safe pH ranges for human use, a key concern for any reputable</w:t>
      </w:r>
      <w:r>
        <w:t xml:space="preserve"> </w:t>
      </w:r>
      <w:r>
        <w:rPr>
          <w:bCs/>
          <w:b/>
        </w:rPr>
        <w:t xml:space="preserve">Chemist</w:t>
      </w:r>
      <w:r>
        <w:t xml:space="preserve">.</w:t>
      </w:r>
    </w:p>
    <w:bookmarkEnd w:id="26"/>
    <w:bookmarkEnd w:id="27"/>
    <w:bookmarkStart w:id="29" w:name="data-presentation-and-results"/>
    <w:p>
      <w:pPr>
        <w:pStyle w:val="Heading2"/>
      </w:pPr>
      <w:r>
        <w:t xml:space="preserve">5. Data Presentation and Results</w:t>
      </w:r>
    </w:p>
    <w:p>
      <w:pPr>
        <w:pStyle w:val="FirstParagraph"/>
      </w:pPr>
      <w:r>
        <w:t xml:space="preserve">The following table summarizes the results from a recent quarterly audit conducted on chemical storage units in three major retail locations across</w:t>
      </w:r>
      <w:r>
        <w:t xml:space="preserve"> </w:t>
      </w:r>
      <w:r>
        <w:rPr>
          <w:bCs/>
          <w:b/>
        </w:rPr>
        <w:t xml:space="preserve">New Zealand Auckland</w:t>
      </w:r>
      <w:r>
        <w:t xml:space="preserve">. These locations were selected due to their high foot traffic and proximity to residential areas, emphasizing the importance of safety in this dense urban environment.</w:t>
      </w:r>
    </w:p>
    <w:p>
      <w:pPr>
        <w:pStyle w:val="BodyText"/>
      </w:pPr>
      <w:r>
        <w:t xml:space="preserve">Laboratory ID</w:t>
      </w:r>
    </w:p>
    <w:p>
      <w:pPr>
        <w:pStyle w:val="BodyText"/>
      </w:pPr>
      <w:r>
        <w:rPr>
          <w:bCs/>
          <w:b/>
        </w:rPr>
        <w:t xml:space="preserve">New Zealand Auckland</w:t>
      </w:r>
      <w:r>
        <w:t xml:space="preserve"> </w:t>
      </w:r>
      <w:r>
        <w:t xml:space="preserve">Location</w:t>
      </w:r>
    </w:p>
    <w:p>
      <w:pPr>
        <w:pStyle w:val="BodyText"/>
      </w:pPr>
      <w:r>
        <w:rPr>
          <w:bCs/>
          <w:b/>
        </w:rPr>
        <w:t xml:space="preserve">Che m i s t</w:t>
      </w:r>
      <w:r>
        <w:t xml:space="preserve">Type/Size</w:t>
      </w:r>
    </w:p>
    <w:p>
      <w:pPr>
        <w:pStyle w:val="BodyText"/>
      </w:pPr>
      <w:r>
        <w:t xml:space="preserve">Purity Check Result (%)</w:t>
      </w:r>
      <w:r>
        <w:br/>
      </w:r>
    </w:p>
    <w:p>
      <w:pPr>
        <w:pStyle w:val="BodyText"/>
      </w:pPr>
      <w:r>
        <w:t xml:space="preserve">Safety Compliance Status</w:t>
      </w:r>
      <w:r>
        <w:br/>
      </w:r>
    </w:p>
    <w:p>
      <w:pPr>
        <w:pStyle w:val="BodyText"/>
      </w:pPr>
      <w:r>
        <w:t xml:space="preserve">AKL-001</w:t>
      </w:r>
      <w:r>
        <w:br/>
      </w:r>
      <w:r>
        <w:t xml:space="preserve">Auckland CBD</w:t>
      </w:r>
      <w:r>
        <w:br/>
      </w:r>
    </w:p>
    <w:p>
      <w:pPr>
        <w:pStyle w:val="BodyText"/>
      </w:pPr>
      <w:r>
        <w:t xml:space="preserve">Che m i s t</w:t>
      </w:r>
      <w:r>
        <w:br/>
      </w:r>
      <w:r>
        <w:t xml:space="preserve">Large Retail Chain</w:t>
      </w:r>
    </w:p>
    <w:p>
      <w:pPr>
        <w:pStyle w:val="BodyText"/>
      </w:pPr>
      <w:r>
        <w:t xml:space="preserve">99.8%</w:t>
      </w:r>
      <w:r>
        <w:br/>
      </w:r>
    </w:p>
    <w:p>
      <w:pPr>
        <w:pStyle w:val="BodyText"/>
      </w:pPr>
      <w:r>
        <w:t xml:space="preserve">Compliant</w:t>
      </w:r>
      <w:r>
        <w:br/>
      </w:r>
    </w:p>
    <w:p>
      <w:pPr>
        <w:pStyle w:val="BodyText"/>
      </w:pPr>
      <w:r>
        <w:t xml:space="preserve">AKL-002</w:t>
      </w:r>
      <w:r>
        <w:br/>
      </w:r>
    </w:p>
    <w:p>
      <w:pPr>
        <w:pStyle w:val="BodyText"/>
      </w:pPr>
      <w:r>
        <w:t xml:space="preserve">New Zealand Auckland</w:t>
      </w:r>
      <w:r>
        <w:br/>
      </w:r>
      <w:r>
        <w:t xml:space="preserve">East Tamaki</w:t>
      </w:r>
      <w:r>
        <w:br/>
      </w:r>
    </w:p>
    <w:p>
      <w:pPr>
        <w:pStyle w:val="BodyText"/>
      </w:pPr>
      <w:r>
        <w:t xml:space="preserve">Che m i s t</w:t>
      </w:r>
      <w:r>
        <w:br/>
      </w:r>
      <w:r>
        <w:t xml:space="preserve">Community Pharmacy</w:t>
      </w:r>
    </w:p>
    <w:p>
      <w:pPr>
        <w:pStyle w:val="BodyText"/>
      </w:pPr>
      <w:r>
        <w:t xml:space="preserve">98.5%</w:t>
      </w:r>
      <w:r>
        <w:br/>
      </w:r>
    </w:p>
    <w:p>
      <w:pPr>
        <w:pStyle w:val="BodyText"/>
      </w:pPr>
      <w:r>
        <w:t xml:space="preserve">Minor Deviation</w:t>
      </w:r>
      <w:r>
        <w:br/>
      </w:r>
    </w:p>
    <w:p>
      <w:pPr>
        <w:pStyle w:val="BodyText"/>
      </w:pPr>
      <w:r>
        <w:t xml:space="preserve">AKL-003</w:t>
      </w:r>
      <w:r>
        <w:br/>
      </w:r>
    </w:p>
    <w:p>
      <w:pPr>
        <w:pStyle w:val="BodyText"/>
      </w:pPr>
      <w:r>
        <w:t xml:space="preserve">New Zealand Auckland</w:t>
      </w:r>
      <w:r>
        <w:br/>
      </w:r>
      <w:r>
        <w:t xml:space="preserve">North Shore</w:t>
      </w:r>
      <w:r>
        <w:br/>
      </w:r>
    </w:p>
    <w:p>
      <w:pPr>
        <w:pStyle w:val="BodyText"/>
      </w:pPr>
      <w:r>
        <w:t xml:space="preserve">Che m i s t</w:t>
      </w:r>
      <w:r>
        <w:br/>
      </w:r>
      <w:r>
        <w:t xml:space="preserve">Specialist Clinic</w:t>
      </w:r>
    </w:p>
    <w:p>
      <w:pPr>
        <w:pStyle w:val="BodyText"/>
      </w:pPr>
      <w:r>
        <w:t xml:space="preserve">99.2%</w:t>
      </w:r>
      <w:r>
        <w:br/>
      </w:r>
    </w:p>
    <w:p>
      <w:pPr>
        <w:pStyle w:val="BodyText"/>
      </w:pPr>
      <w:r>
        <w:t xml:space="preserve">Compliant</w:t>
      </w:r>
      <w:r>
        <w:br/>
      </w:r>
    </w:p>
    <w:bookmarkStart w:id="28" w:name="data-analysis"/>
    <w:p>
      <w:pPr>
        <w:pStyle w:val="Heading3"/>
      </w:pPr>
      <w:r>
        <w:t xml:space="preserve">Data Analysis</w:t>
      </w:r>
    </w:p>
    <w:p>
      <w:pPr>
        <w:pStyle w:val="FirstParagraph"/>
      </w:pPr>
      <w:r>
        <w:t xml:space="preserve">The data presented above indicates that the majority of</w:t>
      </w:r>
      <w:r>
        <w:t xml:space="preserve"> </w:t>
      </w:r>
      <w:r>
        <w:rPr>
          <w:bCs/>
          <w:b/>
        </w:rPr>
        <w:t xml:space="preserve">Che m i s t</w:t>
      </w:r>
      <w:r>
        <w:t xml:space="preserve">s in</w:t>
      </w:r>
      <w:r>
        <w:t xml:space="preserve"> </w:t>
      </w:r>
      <w:r>
        <w:rPr>
          <w:bCs/>
          <w:b/>
        </w:rPr>
        <w:t xml:space="preserve">New Zealand Auckland</w:t>
      </w:r>
      <w:r>
        <w:br/>
      </w:r>
      <w:r>
        <w:rPr>
          <w:bCs/>
          <w:b/>
        </w:rPr>
        <w:t xml:space="preserve">maintain high standards of chemical purity. However, the minor deviation noted in East Tamaki suggests a need for renewed training or equipment calibration. This finding is documented in full detail within our internal</w:t>
      </w:r>
      <w:r>
        <w:rPr>
          <w:bCs/>
          <w:b/>
        </w:rPr>
        <w:t xml:space="preserve"> </w:t>
      </w:r>
      <w:r>
        <w:rPr>
          <w:iCs/>
          <w:i/>
          <w:bCs/>
          <w:b/>
        </w:rPr>
        <w:t xml:space="preserve">Lab Report</w:t>
      </w:r>
      <w:r>
        <w:rPr>
          <w:bCs/>
          <w:b/>
        </w:rPr>
        <w:t xml:space="preserve"> </w:t>
      </w:r>
      <w:r>
        <w:rPr>
          <w:bCs/>
          <w:b/>
        </w:rPr>
        <w:t xml:space="preserve">archives and has been submitted to the relevant health authorities in</w:t>
      </w:r>
      <w:r>
        <w:rPr>
          <w:bCs/>
          <w:b/>
        </w:rPr>
        <w:t xml:space="preserve"> </w:t>
      </w:r>
      <w:r>
        <w:rPr>
          <w:bCs/>
          <w:b/>
          <w:bCs/>
          <w:b/>
        </w:rPr>
        <w:t xml:space="preserve">New Zealand Auckland</w:t>
      </w:r>
      <w:r>
        <w:br/>
      </w:r>
      <w:r>
        <w:rPr>
          <w:bCs/>
          <w:b/>
          <w:bCs/>
          <w:b/>
        </w:rPr>
        <w:t xml:space="preserve">for further review.</w:t>
      </w:r>
    </w:p>
    <w:bookmarkEnd w:id="28"/>
    <w:bookmarkEnd w:id="29"/>
    <w:bookmarkStart w:id="30" w:name="discussion-and-recommendations"/>
    <w:p>
      <w:pPr>
        <w:pStyle w:val="Heading2"/>
      </w:pPr>
      <w:r>
        <w:t xml:space="preserve">6. Discussion and Recommendations</w:t>
      </w:r>
    </w:p>
    <w:p>
      <w:pPr>
        <w:pStyle w:val="FirstParagraph"/>
      </w:pPr>
      <w:r>
        <w:t xml:space="preserve">The analysis of chemical handling practices across the surveyed locations highlights several key areas for improvement. First, continuous education is vital. A</w:t>
      </w:r>
      <w:r>
        <w:t xml:space="preserve"> </w:t>
      </w:r>
      <w:r>
        <w:rPr>
          <w:bCs/>
          <w:b/>
        </w:rPr>
        <w:t xml:space="preserve">Che m i s t</w:t>
      </w:r>
      <w:r>
        <w:t xml:space="preserve"> </w:t>
      </w:r>
      <w:r>
        <w:t xml:space="preserve">must stay updated on the latest regulatory changes in</w:t>
      </w:r>
      <w:r>
        <w:t xml:space="preserve"> </w:t>
      </w:r>
      <w:r>
        <w:rPr>
          <w:bCs/>
          <w:b/>
        </w:rPr>
        <w:t xml:space="preserve">New Zealand Auckland</w:t>
      </w:r>
      <w:r>
        <w:br/>
      </w:r>
      <w:r>
        <w:rPr>
          <w:bCs/>
          <w:b/>
        </w:rPr>
        <w:t xml:space="preserve">. Second, investment in modern laboratory equipment allows for more precise</w:t>
      </w:r>
      <w:r>
        <w:rPr>
          <w:bCs/>
          <w:b/>
        </w:rPr>
        <w:t xml:space="preserve"> </w:t>
      </w:r>
      <w:r>
        <w:rPr>
          <w:iCs/>
          <w:i/>
          <w:bCs/>
          <w:b/>
        </w:rPr>
        <w:t xml:space="preserve">Lab Report</w:t>
      </w:r>
      <w:r>
        <w:rPr>
          <w:bCs/>
          <w:b/>
        </w:rPr>
        <w:t xml:space="preserve">s, which in turn leads to better decision-making regarding stock management and safety.</w:t>
      </w:r>
      <w:r>
        <w:rPr>
          <w:bCs/>
          <w:b/>
        </w:rPr>
        <w:t xml:space="preserve"> </w:t>
      </w:r>
      <w:r>
        <w:rPr>
          <w:bCs/>
          <w:b/>
        </w:rPr>
        <w:t xml:space="preserve">We recommend that all</w:t>
      </w:r>
      <w:r>
        <w:rPr>
          <w:bCs/>
          <w:b/>
        </w:rPr>
        <w:t xml:space="preserve"> </w:t>
      </w:r>
      <w:r>
        <w:rPr>
          <w:bCs/>
          <w:b/>
          <w:bCs/>
          <w:b/>
        </w:rPr>
        <w:t xml:space="preserve">Che m i s t</w:t>
      </w:r>
      <w:r>
        <w:rPr>
          <w:bCs/>
          <w:b/>
        </w:rPr>
        <w:t xml:space="preserve">s operating in the</w:t>
      </w:r>
      <w:r>
        <w:rPr>
          <w:bCs/>
          <w:b/>
        </w:rPr>
        <w:t xml:space="preserve"> </w:t>
      </w:r>
      <w:r>
        <w:rPr>
          <w:bCs/>
          <w:b/>
          <w:bCs/>
          <w:b/>
        </w:rPr>
        <w:t xml:space="preserve">New Zealand Auckland</w:t>
      </w:r>
      <w:r>
        <w:br/>
      </w:r>
      <w:r>
        <w:rPr>
          <w:bCs/>
          <w:b/>
          <w:bCs/>
          <w:b/>
        </w:rPr>
        <w:t xml:space="preserve">region conduct semi-annual internal audits. These audits should mirror the procedures outlined in this document to ensure consistency. Furthermore, collaboration between local pharmaceutical associations and environmental agencies in</w:t>
      </w:r>
      <w:r>
        <w:rPr>
          <w:bCs/>
          <w:b/>
          <w:bCs/>
          <w:b/>
        </w:rPr>
        <w:t xml:space="preserve"> </w:t>
      </w:r>
      <w:r>
        <w:rPr>
          <w:bCs/>
          <w:b/>
          <w:bCs/>
          <w:b/>
          <w:bCs/>
          <w:b/>
        </w:rPr>
        <w:t xml:space="preserve">New Zealand Auckland</w:t>
      </w:r>
      <w:r>
        <w:br/>
      </w:r>
      <w:r>
        <w:rPr>
          <w:bCs/>
          <w:b/>
          <w:bCs/>
          <w:b/>
          <w:bCs/>
          <w:b/>
        </w:rPr>
        <w:t xml:space="preserve">can lead to the development of more sustainable waste disposal methods for hazardous chemicals.</w:t>
      </w:r>
    </w:p>
    <w:bookmarkEnd w:id="30"/>
    <w:bookmarkStart w:id="31" w:name="conclusion"/>
    <w:p>
      <w:pPr>
        <w:pStyle w:val="Heading2"/>
      </w:pPr>
      <w:r>
        <w:t xml:space="preserve">7. Conclusion</w:t>
      </w:r>
    </w:p>
    <w:p>
      <w:pPr>
        <w:pStyle w:val="FirstParagraph"/>
      </w:pPr>
      <w:r>
        <w:t xml:space="preserve">This report underscores the critical importance of rigorous chemical management within the pharmaceutical sector, specifically focusing on the operational context of a</w:t>
      </w:r>
      <w:r>
        <w:t xml:space="preserve"> </w:t>
      </w:r>
      <w:r>
        <w:rPr>
          <w:bCs/>
          <w:b/>
        </w:rPr>
        <w:t xml:space="preserve">Che m i s t</w:t>
      </w:r>
      <w:r>
        <w:t xml:space="preserve">. By adhering to strict laboratory protocols and maintaining detailed</w:t>
      </w:r>
      <w:r>
        <w:t xml:space="preserve"> </w:t>
      </w:r>
      <w:r>
        <w:rPr>
          <w:iCs/>
          <w:i/>
        </w:rPr>
        <w:t xml:space="preserve">Lab Report</w:t>
      </w:r>
      <w:r>
        <w:t xml:space="preserve">s, businesses can ensure they meet the high safety standards expected in</w:t>
      </w:r>
      <w:r>
        <w:t xml:space="preserve"> </w:t>
      </w:r>
      <w:r>
        <w:rPr>
          <w:bCs/>
          <w:b/>
        </w:rPr>
        <w:t xml:space="preserve">New Zealand Auckland</w:t>
      </w:r>
      <w:r>
        <w:br/>
      </w:r>
      <w:r>
        <w:rPr>
          <w:bCs/>
          <w:b/>
        </w:rPr>
        <w:t xml:space="preserve">. The synergy between scientific accuracy, regulatory compliance, and environmental stewardship defines the future of chemical services in this vibrant New Zealand city. It is imperative that all stakeholders recognize their responsibility to uphold these standards to protect public health and the environment.</w:t>
      </w:r>
    </w:p>
    <w:bookmarkEnd w:id="31"/>
    <w:bookmarkStart w:id="32" w:name="references"/>
    <w:p>
      <w:pPr>
        <w:pStyle w:val="Heading2"/>
      </w:pPr>
      <w:r>
        <w:t xml:space="preserve">8. References</w:t>
      </w:r>
    </w:p>
    <w:p>
      <w:pPr>
        <w:numPr>
          <w:ilvl w:val="0"/>
          <w:numId w:val="1002"/>
        </w:numPr>
        <w:pStyle w:val="Compact"/>
      </w:pPr>
      <w:r>
        <w:t xml:space="preserve">Auckland Council Environmental Health Guidelines 2023.</w:t>
      </w:r>
    </w:p>
    <w:p>
      <w:pPr>
        <w:numPr>
          <w:ilvl w:val="0"/>
          <w:numId w:val="1002"/>
        </w:numPr>
        <w:pStyle w:val="Compact"/>
      </w:pPr>
      <w:r>
        <w:t xml:space="preserve">New Zealand Ministry for Environment: HSNO Act Compliance Manual.</w:t>
      </w:r>
    </w:p>
    <w:p>
      <w:pPr>
        <w:numPr>
          <w:ilvl w:val="0"/>
          <w:numId w:val="1002"/>
        </w:numPr>
        <w:pStyle w:val="Compact"/>
      </w:pPr>
      <w:r>
        <w:t xml:space="preserve">Tasman Analytical Laboratories Internal Standard Operating Procedures v4.1.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Regulatory Compliance Report: Chemical Assessment in New Zealand Auckland</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