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Regulatory Affairs Department, Saudi Food and Drug Authority (SFDA)</w:t>
      </w:r>
      <w:r>
        <w:br/>
      </w:r>
    </w:p>
    <w:p>
      <w:pPr>
        <w:pStyle w:val="BodyText"/>
      </w:pPr>
      <w:r>
        <w:t xml:space="preserve">FROM:</w:t>
      </w:r>
    </w:p>
    <w:p>
      <w:pPr>
        <w:pStyle w:val="BodyText"/>
      </w:pPr>
      <w:r>
        <w:t xml:space="preserve">SUBJECT:</w:t>
      </w:r>
    </w:p>
    <w:bookmarkStart w:id="20" w:name="X91936d5d8c35f905030d1b792e49424caed201f"/>
    <w:p>
      <w:pPr>
        <w:pStyle w:val="Heading1"/>
      </w:pPr>
      <w:r>
        <w:t xml:space="preserve">Laboratory Report: Chemical Analysis and Regulatory Compliance in Saudi Arabia Riyadh</w:t>
      </w:r>
    </w:p>
    <w:p>
      <w:pPr>
        <w:pStyle w:val="FirstParagraph"/>
      </w:pPr>
      <w:r>
        <w:rPr>
          <w:bCs/>
          <w:b/>
        </w:rPr>
        <w:t xml:space="preserve">Document ID:</w:t>
      </w:r>
      <w:r>
        <w:t xml:space="preserve"> </w:t>
      </w:r>
      <w:r>
        <w:t xml:space="preserve">LAB-SF-2023-089</w:t>
      </w:r>
      <w:r>
        <w:br/>
      </w:r>
      <w:r>
        <w:rPr>
          <w:bCs/>
          <w:b/>
        </w:rPr>
        <w:t xml:space="preserve">Status:</w:t>
      </w:r>
      <w:r>
        <w:t xml:space="preserve"> </w:t>
      </w:r>
      <w:r>
        <w:t xml:space="preserve">Final Approved</w:t>
      </w:r>
      <w:r>
        <w:br/>
      </w:r>
      <w:r>
        <w:rPr>
          <w:bCs/>
          <w:b/>
        </w:rPr>
        <w:t xml:space="preserve">Jurisdiction:</w:t>
      </w:r>
      <w:r>
        <w:t xml:space="preserve"> </w:t>
      </w:r>
      <w:r>
        <w:t xml:space="preserve">Kingdom of Saudi Arabia, Riyadh Region</w:t>
      </w:r>
    </w:p>
    <w:p>
      <w:pPr>
        <w:pStyle w:val="BodyText"/>
      </w:pPr>
      <w:r>
        <w:t xml:space="preserve">&gt;</w:t>
      </w:r>
    </w:p>
    <w:p>
      <w:pPr>
        <w:pStyle w:val="BodyText"/>
      </w:pPr>
      <w:r>
        <w:t xml:space="preserve">This document serves as a formal and detailed Lab Report concerning the rigorous chemical analysis, quality control measures, and regulatory adherence protocols observed within our primary facility located in Riyadh. As the capital city of Saudi Arabia Riyadh stands as the epicenter of industrial innovation and regulatory standardization in the Kingdom. Consequently, any laboratory operating within this jurisdiction must demonstrate unwavering commitment to precision, safety, and compliance with national standards. This Lab Report aims to provide a thorough examination of our operational methodologies, specifically tailored to meet the stringent requirements imposed by local authorities in Saudi Arabia Riyadh.</w:t>
      </w:r>
    </w:p>
    <w:p>
      <w:pPr>
        <w:pStyle w:val="BodyText"/>
      </w:pPr>
      <w:r>
        <w:t xml:space="preserve">&gt;</w:t>
      </w:r>
    </w:p>
    <w:p>
      <w:pPr>
        <w:pStyle w:val="BodyText"/>
      </w:pPr>
      <w:r>
        <w:t xml:space="preserve">The role of the Chemist is pivotal in maintaining these high standards. In the context of Saudi Arabia Riyadh, where industrial growth is rapid and diverse, the Chemist serves not merely as an analyst but as a guardian of public health and environmental safety. The following sections detail the specific responsibilities, analytical procedures, and compliance frameworks that define our laboratory’s operations.</w:t>
      </w:r>
    </w:p>
    <w:p>
      <w:pPr>
        <w:pStyle w:val="BodyText"/>
      </w:pPr>
      <w:r>
        <w:t xml:space="preserve">&gt;</w:t>
      </w:r>
    </w:p>
    <w:p>
      <w:pPr>
        <w:pStyle w:val="BodyText"/>
      </w:pPr>
      <w:r>
        <w:rPr>
          <w:bCs/>
          <w:b/>
        </w:rPr>
        <w:t xml:space="preserve">1. Introduction and Objectives</w:t>
      </w:r>
    </w:p>
    <w:p>
      <w:pPr>
        <w:pStyle w:val="BodyText"/>
      </w:pPr>
      <w:r>
        <w:br/>
      </w:r>
    </w:p>
    <w:p>
      <w:pPr>
        <w:pStyle w:val="BodyText"/>
      </w:pPr>
      <w:r>
        <w:t xml:space="preserve">The primary objective of this Lab Report is to document the analytical results and procedural validations conducted over the past fiscal quarter. Our facility, situated in the heart of Saudi Arabia Riyadh, serves as a critical node for testing industrial effluents, pharmaceutical precursors, and consumer goods. The Kingdom has placed significant emphasis on "Vision 2030," which mandates higher standards of quality and safety across all chemical industries. Therefore, this Lab Report is structured to demonstrate how our Chemist team aligns with these national goals.</w:t>
      </w:r>
    </w:p>
    <w:p>
      <w:pPr>
        <w:pStyle w:val="BodyText"/>
      </w:pPr>
      <w:r>
        <w:br/>
      </w:r>
    </w:p>
    <w:p>
      <w:pPr>
        <w:pStyle w:val="BodyText"/>
      </w:pPr>
      <w:r>
        <w:t xml:space="preserve">Specifically, this report addresses:</w:t>
      </w:r>
    </w:p>
    <w:p>
      <w:pPr>
        <w:pStyle w:val="BodyText"/>
      </w:pPr>
      <w:r>
        <w:t xml:space="preserve">&gt;</w:t>
      </w:r>
    </w:p>
    <w:p>
      <w:pPr>
        <w:pStyle w:val="BodyText"/>
      </w:pPr>
      <w:r>
        <w:t xml:space="preserve">The accuracy and precision of chemical assays performed by our certified Chemists.</w:t>
      </w:r>
    </w:p>
    <w:p>
      <w:pPr>
        <w:pStyle w:val="BodyText"/>
      </w:pPr>
      <w:r>
        <w:br/>
      </w:r>
    </w:p>
    <w:p>
      <w:pPr>
        <w:pStyle w:val="BodyText"/>
      </w:pPr>
      <w:r>
        <w:t xml:space="preserve">The adherence to Saudi Standards, Metrology and Quality Organization (SASO) guidelines.. The ability to trace any non-compliance back to its source. This transparency is crucial for maintaining trust with stakeholders in Saudi Arabia Riyadh.</w:t>
      </w:r>
    </w:p>
    <w:p>
      <w:pPr>
        <w:pStyle w:val="BodyText"/>
      </w:pPr>
      <w:r>
        <w:br/>
      </w:r>
    </w:p>
    <w:p>
      <w:pPr>
        <w:pStyle w:val="BodyText"/>
      </w:pPr>
      <w:r>
        <w:rPr>
          <w:bCs/>
          <w:b/>
        </w:rPr>
        <w:t xml:space="preserve">2. Methodology and Analytical Procedures</w:t>
      </w:r>
    </w:p>
    <w:p>
      <w:pPr>
        <w:pStyle w:val="BodyText"/>
      </w:pPr>
      <w:r>
        <w:t xml:space="preserve">&gt;</w:t>
      </w:r>
    </w:p>
    <w:p>
      <w:pPr>
        <w:pStyle w:val="BodyText"/>
      </w:pPr>
      <w:r>
        <w:t xml:space="preserve">The laboratory employs a suite of advanced analytical techniques, including High-Performance Liquid Chromatography (HPLC), Gas Chromatography-Mass Spectrometry (GC-MS), and Inductively Coupled Plasma Mass Spectrometry (ICP-MS). These methods were selected for their sensitivity and specificity, ensuring that even trace contaminants are detected. The Chemist overseeing each process must undergo continuous professional development to stay abreast of the latest technological advancements.</w:t>
      </w:r>
    </w:p>
    <w:p>
      <w:pPr>
        <w:pStyle w:val="BodyText"/>
      </w:pPr>
      <w:r>
        <w:br/>
      </w:r>
    </w:p>
    <w:p>
      <w:pPr>
        <w:pStyle w:val="BodyText"/>
      </w:pPr>
      <w:r>
        <w:t xml:space="preserve">In Saudi Arabia Riyadh, where humidity and temperature fluctuations can affect sample stability, our laboratory utilizes climate-controlled environments to maintain sample integrity. This environmental control is a standard requirement for any Lab Report submitted in this region.</w:t>
      </w:r>
    </w:p>
    <w:p>
      <w:pPr>
        <w:pStyle w:val="BodyText"/>
      </w:pPr>
      <w:r>
        <w:br/>
      </w:r>
    </w:p>
    <w:p>
      <w:pPr>
        <w:pStyle w:val="BodyText"/>
      </w:pPr>
      <w:r>
        <w:t xml:space="preserve">&gt;</w:t>
      </w:r>
    </w:p>
    <w:p>
      <w:pPr>
        <w:pStyle w:val="BodyText"/>
      </w:pPr>
      <w:r>
        <w:rPr>
          <w:bCs/>
          <w:b/>
        </w:rPr>
        <w:t xml:space="preserve">3. Results and Data Analysis</w:t>
      </w:r>
    </w:p>
    <w:p>
      <w:pPr>
        <w:pStyle w:val="BodyText"/>
      </w:pPr>
      <w:r>
        <w:t xml:space="preserve">&gt;</w:t>
      </w:r>
    </w:p>
    <w:p>
      <w:pPr>
        <w:pStyle w:val="BodyText"/>
      </w:pPr>
      <w:r>
        <w:t xml:space="preserve">The following table summarizes the key findings from recent analyses conducted by our Chemist team:</w:t>
      </w:r>
    </w:p>
    <w:p>
      <w:pPr>
        <w:pStyle w:val="BodyText"/>
      </w:pPr>
      <w:r>
        <w:br/>
      </w:r>
    </w:p>
    <w:p>
      <w:pPr>
        <w:pStyle w:val="BodyText"/>
      </w:pPr>
      <w:r>
        <w:t xml:space="preserve">&gt;</w:t>
      </w:r>
    </w:p>
    <w:p>
      <w:pPr>
        <w:pStyle w:val="BodyText"/>
      </w:pPr>
      <w:r>
        <w:t xml:space="preserve">tr&gt;</w:t>
      </w:r>
    </w:p>
    <w:p>
      <w:pPr>
        <w:pStyle w:val="BodyText"/>
      </w:pPr>
      <w:r>
        <w:rPr>
          <w:bCs/>
          <w:b/>
        </w:rPr>
        <w:t xml:space="preserve">SAMPLE ID</w:t>
      </w:r>
    </w:p>
    <w:p>
      <w:pPr>
        <w:pStyle w:val="BodyText"/>
      </w:pPr>
      <w:r>
        <w:t xml:space="preserve">&gt;</w:t>
      </w:r>
    </w:p>
    <w:p>
      <w:pPr>
        <w:pStyle w:val="BodyText"/>
      </w:pPr>
      <w:r>
        <w:t xml:space="preserve">SUBSTANCE ANALYZED</w:t>
      </w:r>
    </w:p>
    <w:p>
      <w:pPr>
        <w:pStyle w:val="BodyText"/>
      </w:pPr>
      <w:r>
        <w:t xml:space="preserve">METHOD USED</w:t>
      </w:r>
    </w:p>
    <w:p>
      <w:pPr>
        <w:pStyle w:val="BodyText"/>
      </w:pPr>
      <w:r>
        <w:t xml:space="preserve">TARGET LIMIT (ppm)</w:t>
      </w:r>
    </w:p>
    <w:p>
      <w:pPr>
        <w:pStyle w:val="BodyText"/>
      </w:pPr>
      <w:r>
        <w:t xml:space="preserve">&gt;DIV CLASS="HEADER-INFO"&gt;</w:t>
      </w:r>
    </w:p>
    <w:p>
      <w:pPr>
        <w:pStyle w:val="BodyText"/>
      </w:pPr>
      <w:r>
        <w:t xml:space="preserve">SAMPLE ID</w:t>
      </w:r>
    </w:p>
    <w:p>
      <w:pPr>
        <w:pStyle w:val="BodyText"/>
      </w:pPr>
      <w:r>
        <w:t xml:space="preserve">&gt;</w:t>
      </w:r>
    </w:p>
    <w:p>
      <w:pPr>
        <w:pStyle w:val="BodyText"/>
      </w:pPr>
      <w:r>
        <w:t xml:space="preserve">CHEMIST INITIALS</w:t>
      </w:r>
    </w:p>
    <w:p>
      <w:pPr>
        <w:pStyle w:val="BodyText"/>
      </w:pPr>
      <w:r>
        <w:t xml:space="preserve">&gt;DIV CLASS="HEADER-INFO"&gt;</w:t>
      </w:r>
    </w:p>
    <w:p>
      <w:pPr>
        <w:pStyle w:val="BodyText"/>
      </w:pPr>
      <w:r>
        <w:t xml:space="preserve">SAMPLE ID</w:t>
      </w:r>
    </w:p>
    <w:p>
      <w:pPr>
        <w:pStyle w:val="BodyText"/>
      </w:pPr>
      <w:r>
        <w:t xml:space="preserve">SUBSTANCE ANALYZED</w:t>
      </w:r>
    </w:p>
    <w:p>
      <w:pPr>
        <w:pStyle w:val="BodyText"/>
      </w:pPr>
      <w:r>
        <w:t xml:space="preserve">METHOD USED</w:t>
      </w:r>
    </w:p>
    <w:p>
      <w:pPr>
        <w:pStyle w:val="BodyText"/>
      </w:pPr>
      <w:r>
        <w:t xml:space="preserve">TARGET LIMIT (ppm)</w:t>
      </w:r>
    </w:p>
    <w:p>
      <w:pPr>
        <w:pStyle w:val="BodyText"/>
      </w:pPr>
      <w:r>
        <w:t xml:space="preserve">&gt;DIV CLASS="HEADER-INFO"&gt;</w:t>
      </w:r>
    </w:p>
    <w:p>
      <w:pPr>
        <w:pStyle w:val="BodyText"/>
      </w:pPr>
      <w:r>
        <w:t xml:space="preserve">CHEMIST INITIALS</w:t>
      </w:r>
    </w:p>
    <w:p>
      <w:pPr>
        <w:pStyle w:val="BodyText"/>
      </w:pPr>
      <w:r>
        <w:t xml:space="preserve">&gt;DIV CLASS="HEADER-INFO"&gt;</w:t>
      </w:r>
    </w:p>
    <w:p>
      <w:pPr>
        <w:pStyle w:val="BodyText"/>
      </w:pPr>
      <w:r>
        <w:t xml:space="preserve">RESULT (PPM)</w:t>
      </w:r>
    </w:p>
    <w:p>
      <w:pPr>
        <w:pStyle w:val="BodyText"/>
      </w:pPr>
      <w:r>
        <w:t xml:space="preserve">COMPLIANCE STATUS</w:t>
      </w:r>
    </w:p>
    <w:p>
      <w:pPr>
        <w:pStyle w:val="BodyText"/>
      </w:pPr>
      <w:r>
        <w:t xml:space="preserve">&gt;</w:t>
      </w:r>
    </w:p>
    <w:p>
      <w:pPr>
        <w:pStyle w:val="BodyText"/>
      </w:pPr>
      <w:r>
        <w:t xml:space="preserve">SAR-2023-001</w:t>
      </w:r>
    </w:p>
    <w:p>
      <w:pPr>
        <w:pStyle w:val="BodyText"/>
      </w:pPr>
      <w:r>
        <w:t xml:space="preserve">Arsenic Content in Water Sample</w:t>
      </w:r>
    </w:p>
    <w:p>
      <w:pPr>
        <w:pStyle w:val="BodyText"/>
      </w:pPr>
      <w:r>
        <w:t xml:space="preserve">ICP-MS</w:t>
      </w:r>
    </w:p>
    <w:p>
      <w:pPr>
        <w:pStyle w:val="BodyText"/>
      </w:pPr>
      <w:r>
        <w:t xml:space="preserve">1.0PPM)TD&gt;TARGET LIMIT (PPM)CHEMIST INITIALS)RESULT (PPM)STRONG&gt;</w:t>
      </w:r>
    </w:p>
    <w:p>
      <w:pPr>
        <w:pStyle w:val="BodyText"/>
      </w:pPr>
      <w:r>
        <w:t xml:space="preserve">COMPLIANCE STATUS</w:t>
      </w:r>
    </w:p>
    <w:p>
      <w:pPr>
        <w:pStyle w:val="BodyText"/>
      </w:pPr>
      <w:r>
        <w:t xml:space="preserve">SAR-2023-015</w:t>
      </w:r>
    </w:p>
    <w:p>
      <w:pPr>
        <w:pStyle w:val="BodyText"/>
      </w:pPr>
      <w:r>
        <w:t xml:space="preserve">Pesticide Residues in Agricultural Output</w:t>
      </w:r>
    </w:p>
    <w:p>
      <w:pPr>
        <w:pStyle w:val="BodyText"/>
      </w:pPr>
      <w:r>
        <w:t xml:space="preserve">HPLC</w:t>
      </w:r>
    </w:p>
    <w:p>
      <w:pPr>
        <w:pStyle w:val="BodyText"/>
      </w:pPr>
      <w:r>
        <w:t xml:space="preserve">TARGET LIMIT (PPM)STRONG&gt;CHEMIST INITIALS)RESULT (PPM)STRONG&gt;</w:t>
      </w:r>
    </w:p>
    <w:p>
      <w:pPr>
        <w:pStyle w:val="BodyText"/>
      </w:pPr>
      <w:r>
        <w:t xml:space="preserve">COMPLIANCE STATUS</w:t>
      </w:r>
    </w:p>
    <w:p>
      <w:pPr>
        <w:pStyle w:val="BodyText"/>
      </w:pPr>
      <w:r>
        <w:t xml:space="preserve">SAR-2023-042</w:t>
      </w:r>
    </w:p>
    <w:p>
      <w:pPr>
        <w:pStyle w:val="BodyText"/>
      </w:pPr>
      <w:r>
        <w:t xml:space="preserve">Volatile Organic Compounds in Air Quality</w:t>
      </w:r>
    </w:p>
    <w:p>
      <w:pPr>
        <w:pStyle w:val="BodyText"/>
      </w:pPr>
      <w:r>
        <w:t xml:space="preserve">GC-MS</w:t>
      </w:r>
    </w:p>
    <w:p>
      <w:pPr>
        <w:pStyle w:val="BodyText"/>
      </w:pPr>
      <w:r>
        <w:t xml:space="preserve">TARGET LIMIT (PPM)STRONG&gt;CHEMIST INITIALS)RESULT (PPM)STRONG&gt;</w:t>
      </w:r>
    </w:p>
    <w:p>
      <w:pPr>
        <w:pStyle w:val="BodyText"/>
      </w:pPr>
      <w:r>
        <w:t xml:space="preserve">COMPLIANCE STATUS</w:t>
      </w:r>
    </w:p>
    <w:p>
      <w:pPr>
        <w:pStyle w:val="BodyText"/>
      </w:pPr>
      <w:r>
        <w:t xml:space="preserve">SAR-2023-058</w:t>
      </w:r>
    </w:p>
    <w:p>
      <w:pPr>
        <w:pStyle w:val="BodyText"/>
      </w:pPr>
      <w:r>
        <w:t xml:space="preserve">Heavy Metals in Industrial Effluent</w:t>
      </w:r>
    </w:p>
    <w:p>
      <w:pPr>
        <w:pStyle w:val="BodyText"/>
      </w:pPr>
      <w:r>
        <w:t xml:space="preserve">AAS (Atomic Absorption Spectroscopy)</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SAR-2023-015</w:t>
      </w:r>
    </w:p>
    <w:p>
      <w:pPr>
        <w:pStyle w:val="BodyText"/>
      </w:pPr>
      <w:r>
        <w:t xml:space="preserve">Pesticide Residues in Agricultural Output</w:t>
      </w:r>
    </w:p>
    <w:p>
      <w:pPr>
        <w:pStyle w:val="BodyText"/>
      </w:pPr>
      <w:r>
        <w:t xml:space="preserve">HPLC</w:t>
      </w:r>
    </w:p>
    <w:p>
      <w:pPr>
        <w:pStyle w:val="BodyText"/>
      </w:pPr>
      <w:r>
        <w:t xml:space="preserve">TARGET LIMIT (PPM)STRONG&gt;CHEMIST INITIALS)RESULT (PPM)STRONG&gt;</w:t>
      </w:r>
    </w:p>
    <w:p>
      <w:pPr>
        <w:pStyle w:val="BodyText"/>
      </w:pPr>
      <w:r>
        <w:t xml:space="preserve">COMPLIANCE STATUS</w:t>
      </w:r>
    </w:p>
    <w:p>
      <w:pPr>
        <w:pStyle w:val="BodyText"/>
      </w:pPr>
      <w:r>
        <w:t xml:space="preserve">SAR-2023-042</w:t>
      </w:r>
    </w:p>
    <w:p>
      <w:pPr>
        <w:pStyle w:val="BodyText"/>
      </w:pPr>
      <w:r>
        <w:t xml:space="preserve">Volatile Organic Compounds in Air Quality</w:t>
      </w:r>
    </w:p>
    <w:p>
      <w:pPr>
        <w:pStyle w:val="BodyText"/>
      </w:pPr>
      <w:r>
        <w:t xml:space="preserve">GC-MS</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SAR-2023-058</w:t>
      </w:r>
    </w:p>
    <w:p>
      <w:pPr>
        <w:pStyle w:val="BodyText"/>
      </w:pPr>
      <w:r>
        <w:t xml:space="preserve">Heavy Metals in Industrial Effluent</w:t>
      </w:r>
    </w:p>
    <w:p>
      <w:pPr>
        <w:pStyle w:val="BodyText"/>
      </w:pPr>
      <w:r>
        <w:t xml:space="preserve">AAS (Atomic Absorption Spectroscopy)</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SAR-2023-067</w:t>
      </w:r>
    </w:p>
    <w:p>
      <w:pPr>
        <w:pStyle w:val="BodyText"/>
      </w:pPr>
      <w:r>
        <w:t xml:space="preserve">Cosmetic Preservatives in Personal Care Products</w:t>
      </w:r>
    </w:p>
    <w:p>
      <w:pPr>
        <w:pStyle w:val="BodyText"/>
      </w:pPr>
      <w:r>
        <w:t xml:space="preserve">TLC (Thin Layer Chromatography)</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SAR-2023-089</w:t>
      </w:r>
    </w:p>
    <w:p>
      <w:pPr>
        <w:pStyle w:val="BodyText"/>
      </w:pPr>
      <w:r>
        <w:t xml:space="preserve">Pharmaceutical Active Ingredients in Generic Drugs</w:t>
      </w:r>
    </w:p>
    <w:p>
      <w:pPr>
        <w:pStyle w:val="BodyText"/>
      </w:pPr>
      <w:r>
        <w:t xml:space="preserve">HPLC-DAD (Diode Array Detector)</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SAR-2023-104</w:t>
      </w:r>
    </w:p>
    <w:p>
      <w:pPr>
        <w:pStyle w:val="BodyText"/>
      </w:pPr>
      <w:r>
        <w:t xml:space="preserve">Microplastics in Municipal Wastewater</w:t>
      </w:r>
    </w:p>
    <w:p>
      <w:pPr>
        <w:pStyle w:val="BodyText"/>
      </w:pPr>
      <w:r>
        <w:t xml:space="preserve">Raman Spectroscopy</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SAR-2023-119</w:t>
      </w:r>
    </w:p>
    <w:p>
      <w:pPr>
        <w:pStyle w:val="BodyText"/>
      </w:pPr>
      <w:r>
        <w:t xml:space="preserve">Aromatic Hydrocarbons in Fuel Additives</w:t>
      </w:r>
    </w:p>
    <w:p>
      <w:pPr>
        <w:pStyle w:val="BodyText"/>
      </w:pPr>
      <w:r>
        <w:t xml:space="preserve">GC-FID (Flame Ionization Detector)</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SAR-2023-135</w:t>
      </w:r>
    </w:p>
    <w:p>
      <w:pPr>
        <w:pStyle w:val="BodyText"/>
      </w:pPr>
      <w:r>
        <w:t xml:space="preserve">Nitrate Levels in Groundwater Sources</w:t>
      </w:r>
    </w:p>
    <w:p>
      <w:pPr>
        <w:pStyle w:val="BodyText"/>
      </w:pPr>
      <w:r>
        <w:t xml:space="preserve">Ion Chromatography</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SAR-2023-150</w:t>
      </w:r>
    </w:p>
    <w:p>
      <w:pPr>
        <w:pStyle w:val="BodyText"/>
      </w:pPr>
      <w:r>
        <w:t xml:space="preserve">Cyanide Content in Mining Runoff</w:t>
      </w:r>
    </w:p>
    <w:p>
      <w:pPr>
        <w:pStyle w:val="BodyText"/>
      </w:pPr>
      <w:r>
        <w:t xml:space="preserve">Spectrophotometry</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SAR-2023-165</w:t>
      </w:r>
    </w:p>
    <w:p>
      <w:pPr>
        <w:pStyle w:val="BodyText"/>
      </w:pPr>
      <w:r>
        <w:t xml:space="preserve">Benzene Traces in Petrochemical Byproducts</w:t>
      </w:r>
    </w:p>
    <w:p>
      <w:pPr>
        <w:pStyle w:val="BodyText"/>
      </w:pPr>
      <w:r>
        <w:t xml:space="preserve">GC-PID (Photoionization Detector)</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SAR-2023-180</w:t>
      </w:r>
    </w:p>
    <w:p>
      <w:pPr>
        <w:pStyle w:val="BodyText"/>
      </w:pPr>
      <w:r>
        <w:t xml:space="preserve">Sulfur Dioxide Emissions from Power Plants</w:t>
      </w:r>
    </w:p>
    <w:p>
      <w:pPr>
        <w:pStyle w:val="BodyText"/>
      </w:pPr>
      <w:r>
        <w:t xml:space="preserve">UV Absorption Spectroscopy</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SAR-2023-195</w:t>
      </w:r>
    </w:p>
    <w:p>
      <w:pPr>
        <w:pStyle w:val="BodyText"/>
      </w:pPr>
      <w:r>
        <w:t xml:space="preserve">Methanol Levels in Alcoholic Beverages (Regulated)</w:t>
      </w:r>
    </w:p>
    <w:p>
      <w:pPr>
        <w:pStyle w:val="BodyText"/>
      </w:pPr>
      <w:r>
        <w:t xml:space="preserve">HPLC-Refractive Index</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SAR-2023-210</w:t>
      </w:r>
    </w:p>
    <w:p>
      <w:pPr>
        <w:pStyle w:val="BodyText"/>
      </w:pPr>
      <w:r>
        <w:t xml:space="preserve">Pesticide Metabolites in Soil Samples</w:t>
      </w:r>
    </w:p>
    <w:p>
      <w:pPr>
        <w:pStyle w:val="BodyText"/>
      </w:pPr>
      <w:r>
        <w:t xml:space="preserve">LC-MS/MS (Liquid Chromatography-Tandem Mass Spectrometry)</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SAR-2023-225</w:t>
      </w:r>
    </w:p>
    <w:p>
      <w:pPr>
        <w:pStyle w:val="BodyText"/>
      </w:pPr>
      <w:r>
        <w:t xml:space="preserve">Aflatoxins in Stored Grains</w:t>
      </w:r>
    </w:p>
    <w:p>
      <w:pPr>
        <w:pStyle w:val="BodyText"/>
      </w:pPr>
      <w:r>
        <w:t xml:space="preserve">HPLC with Fluorescence Detection</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SAR-2023-240</w:t>
      </w:r>
    </w:p>
    <w:p>
      <w:pPr>
        <w:pStyle w:val="BodyText"/>
      </w:pPr>
      <w:r>
        <w:t xml:space="preserve">Total Dissolved Solids in Desalinated Water</w:t>
      </w:r>
    </w:p>
    <w:p>
      <w:pPr>
        <w:pStyle w:val="BodyText"/>
      </w:pPr>
      <w:r>
        <w:t xml:space="preserve">Conductometry</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SAR-2023-255</w:t>
      </w:r>
    </w:p>
    <w:p>
      <w:pPr>
        <w:pStyle w:val="BodyText"/>
      </w:pPr>
      <w:r>
        <w:t xml:space="preserve">Vinyl Chloride in PVC Manufacturing Effluents</w:t>
      </w:r>
    </w:p>
    <w:p>
      <w:pPr>
        <w:pStyle w:val="BodyText"/>
      </w:pPr>
      <w:r>
        <w:t xml:space="preserve">Purge and Trap GC-MS</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SAR-2023-270</w:t>
      </w:r>
    </w:p>
    <w:p>
      <w:pPr>
        <w:pStyle w:val="BodyText"/>
      </w:pPr>
      <w:r>
        <w:t xml:space="preserve">Manganese Levels in Drinking Water Distribution Systems</w:t>
      </w:r>
    </w:p>
    <w:p>
      <w:pPr>
        <w:pStyle w:val="BodyText"/>
      </w:pPr>
      <w:r>
        <w:t xml:space="preserve">ICP-OES (Optical Emission Spectroscopy)</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SAR-2023-285</w:t>
      </w:r>
    </w:p>
    <w:p>
      <w:pPr>
        <w:pStyle w:val="BodyText"/>
      </w:pPr>
      <w:r>
        <w:t xml:space="preserve">Polybrominated Diphenyl Ethers (PBDEs) in Electronics Waste</w:t>
      </w:r>
    </w:p>
    <w:p>
      <w:pPr>
        <w:pStyle w:val="BodyText"/>
      </w:pPr>
      <w:r>
        <w:t xml:space="preserve">GC-ECD (Electron Capture Detector)</w:t>
      </w:r>
    </w:p>
    <w:p>
      <w:pPr>
        <w:pStyle w:val="BodyText"/>
      </w:pPr>
      <w:r>
        <w:t xml:space="preserve">TARGET LIMIT (PPM)STRONG&gt;CHEMIST INITIALS)RESULT (PPM)STRONG&gt;</w:t>
      </w:r>
    </w:p>
    <w:p>
      <w:pPr>
        <w:pStyle w:val="BodyText"/>
      </w:pPr>
      <w:r>
        <w:t xml:space="preserve">COMPLIANCE STATUS</w:t>
      </w:r>
    </w:p>
    <w:p>
      <w:pPr>
        <w:pStyle w:val="BodyText"/>
      </w:pPr>
      <w:r>
        <w:t xml:space="preserve">&gt;DIV CLASS="HEADER-INFO"&gt;</w:t>
      </w:r>
    </w:p>
    <w:p>
      <w:pPr>
        <w:pStyle w:val="BodyText"/>
      </w:pPr>
      <w:r>
        <w:t xml:space="preserve">SAR-2023-300</w:t>
      </w:r>
    </w:p>
    <w:p>
      <w:pPr>
        <w:pStyle w:val="BodyText"/>
      </w:pPr>
      <w:r>
        <w:t xml:space="preserve">Tetrachloroethylene in Dry Cleaning Wastewater</w:t>
      </w:r>
    </w:p>
    <w:p>
      <w:pPr>
        <w:pStyle w:val="BodyText"/>
      </w:pPr>
      <w:r>
        <w:t xml:space="preserve">SPI (Solid Phase Extraction) followed by GC-ECD</w:t>
      </w:r>
    </w:p>
    <w:p>
      <w:pPr>
        <w:pStyle w:val="BodyText"/>
      </w:pPr>
      <w:r>
        <w:t xml:space="preserve">TARGET LIMIT (PPM)STRONG&gt;CHEMIST INITIALS)RESULT (PPM)STRONG&gt;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Laboratory Report: Chemical Analysis and Regulatory Compliance in Saudi Arabia Riyadh</dc:title>
  <dc:creator/>
  <dc:language>en</dc:language>
  <cp:keywords/>
  <dcterms:created xsi:type="dcterms:W3CDTF">2026-07-29T03:47:01Z</dcterms:created>
  <dcterms:modified xsi:type="dcterms:W3CDTF">2026-07-29T03:47:01Z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