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Laboratory</w:t>
      </w:r>
      <w:r>
        <w:t xml:space="preserve"> </w:t>
      </w:r>
      <w:r>
        <w:t xml:space="preserve">Analysis</w:t>
      </w:r>
      <w:r>
        <w:t xml:space="preserve"> </w:t>
      </w:r>
      <w:r>
        <w:t xml:space="preserve">Report:</w:t>
      </w:r>
      <w:r>
        <w:t xml:space="preserve"> </w:t>
      </w:r>
      <w:r>
        <w:t xml:space="preserve">Pharmaceutical</w:t>
      </w:r>
      <w:r>
        <w:t xml:space="preserve"> </w:t>
      </w:r>
      <w:r>
        <w:t xml:space="preserve">Quality</w:t>
      </w:r>
      <w:r>
        <w:t xml:space="preserve"> </w:t>
      </w:r>
      <w:r>
        <w:t xml:space="preserve">Assurance</w:t>
      </w:r>
      <w:r>
        <w:t xml:space="preserve"> </w:t>
      </w:r>
      <w:r>
        <w:t xml:space="preserve">in</w:t>
      </w:r>
      <w:r>
        <w:t xml:space="preserve"> </w:t>
      </w:r>
      <w:r>
        <w:t xml:space="preserve">Spain,</w:t>
      </w:r>
      <w:r>
        <w:t xml:space="preserve"> </w:t>
      </w:r>
      <w:r>
        <w:t xml:space="preserve">Madrid</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r>
        <w:br/>
      </w:r>
      <w:r>
        <w:rPr>
          <w:bCs/>
          <w:b/>
        </w:rPr>
        <w:t xml:space="preserve">Laboratory ID:</w:t>
      </w:r>
      <w:r>
        <w:t xml:space="preserve"> </w:t>
      </w:r>
      <w:r>
        <w:t xml:space="preserve">LAB-MAD-2023-XA9</w:t>
      </w:r>
      <w:r>
        <w:br/>
      </w:r>
      <w:r>
        <w:rPr>
          <w:bCs/>
          <w:b/>
        </w:rPr>
        <w:t xml:space="preserve">Location:</w:t>
      </w:r>
      <w:r>
        <w:t xml:space="preserve"> </w:t>
      </w:r>
      <w:r>
        <w:t xml:space="preserve">Madrid, Spain (European Union Regulatory Zone)</w:t>
      </w:r>
    </w:p>
    <w:bookmarkEnd w:id="20"/>
    <w:bookmarkStart w:id="21" w:name="i.-executive-summary"/>
    <w:p>
      <w:pPr>
        <w:pStyle w:val="Heading1"/>
      </w:pPr>
      <w:r>
        <w:t xml:space="preserve">I. Executive Summary</w:t>
      </w:r>
    </w:p>
    <w:p>
      <w:pPr>
        <w:pStyle w:val="FirstParagraph"/>
      </w:pPr>
      <w:r>
        <w:t xml:space="preserve">This document serves as a formal</w:t>
      </w:r>
      <w:r>
        <w:t xml:space="preserve"> </w:t>
      </w:r>
      <w:r>
        <w:rPr>
          <w:bCs/>
          <w:b/>
        </w:rPr>
        <w:t xml:space="preserve">Laboratory Report</w:t>
      </w:r>
      <w:r>
        <w:t xml:space="preserve"> </w:t>
      </w:r>
      <w:r>
        <w:t xml:space="preserve">detailing the chemical analysis and quality assurance procedures conducted by our certified team of</w:t>
      </w:r>
      <w:r>
        <w:t xml:space="preserve"> </w:t>
      </w:r>
      <w:r>
        <w:rPr>
          <w:bCs/>
          <w:b/>
        </w:rPr>
        <w:t xml:space="preserve">C Chemists</w:t>
      </w:r>
      <w:r>
        <w:t xml:space="preserve">. The scope of this analysis was specifically tailored to meet the stringent regulatory standards required for pharmaceutical distribution within Spain, with a particular focus on the metropolitan area of Madrid. As a hub for international trade and healthcare innovation, Madrid demands rigorous adherence to both national Spanish laws and overarching European Union directives regarding chemical safety and efficacy.</w:t>
      </w:r>
    </w:p>
    <w:p>
      <w:pPr>
        <w:pStyle w:val="BodyText"/>
      </w:pPr>
      <w:r>
        <w:t xml:space="preserve">The primary objective of this</w:t>
      </w:r>
      <w:r>
        <w:t xml:space="preserve"> </w:t>
      </w:r>
      <w:r>
        <w:rPr>
          <w:bCs/>
          <w:b/>
        </w:rPr>
        <w:t xml:space="preserve">Laboratory Report</w:t>
      </w:r>
      <w:r>
        <w:t xml:space="preserve"> </w:t>
      </w:r>
      <w:r>
        <w:t xml:space="preserve">was to verify the purity, concentration, and stability profile of Batch #77-Beta of "CardioFix," a widely distributed cardiovascular medication. The analysis involved comprehensive spectroscopic evaluation, chromatographic separation techniques, and microbiological screening. All procedures were executed under the supervision of senior</w:t>
      </w:r>
      <w:r>
        <w:t xml:space="preserve"> </w:t>
      </w:r>
      <w:r>
        <w:rPr>
          <w:bCs/>
          <w:b/>
        </w:rPr>
        <w:t xml:space="preserve">C Chemists</w:t>
      </w:r>
      <w:r>
        <w:t xml:space="preserve"> </w:t>
      </w:r>
      <w:r>
        <w:t xml:space="preserve">who specialize in forensic chemistry and pharmaceutical compliance within the Madrid region.</w:t>
      </w:r>
    </w:p>
    <w:bookmarkEnd w:id="21"/>
    <w:bookmarkStart w:id="22" w:name="ii.-introduction-and-scope"/>
    <w:p>
      <w:pPr>
        <w:pStyle w:val="Heading1"/>
      </w:pPr>
      <w:r>
        <w:t xml:space="preserve">II. Introduction and Scope</w:t>
      </w:r>
    </w:p>
    <w:p>
      <w:pPr>
        <w:pStyle w:val="FirstParagraph"/>
      </w:pPr>
      <w:r>
        <w:t xml:space="preserve">The role of a professional</w:t>
      </w:r>
      <w:r>
        <w:t xml:space="preserve"> </w:t>
      </w:r>
      <w:r>
        <w:rPr>
          <w:bCs/>
          <w:b/>
        </w:rPr>
        <w:t xml:space="preserve">C Chemist</w:t>
      </w:r>
      <w:r>
        <w:t xml:space="preserve"> </w:t>
      </w:r>
      <w:r>
        <w:t xml:space="preserve">extends beyond mere data collection; it involves ensuring that every chemical compound analyzed meets the highest standards of safety for public health. In</w:t>
      </w:r>
      <w:r>
        <w:t xml:space="preserve"> </w:t>
      </w:r>
      <w:r>
        <w:rPr>
          <w:bCs/>
          <w:b/>
        </w:rPr>
        <w:t xml:space="preserve">Spain Madrid</w:t>
      </w:r>
      <w:r>
        <w:t xml:space="preserve">, the healthcare system is publicly funded and universally accessible, which places an immense responsibility on laboratories to guarantee that every pill, syrup, or injection administered to a citizen is free from contaminants and accurately labeled.</w:t>
      </w:r>
    </w:p>
    <w:p>
      <w:pPr>
        <w:pStyle w:val="BodyText"/>
      </w:pPr>
      <w:r>
        <w:t xml:space="preserve">This</w:t>
      </w:r>
      <w:r>
        <w:t xml:space="preserve"> </w:t>
      </w:r>
      <w:r>
        <w:rPr>
          <w:bCs/>
          <w:b/>
        </w:rPr>
        <w:t xml:space="preserve">Laboratory Report</w:t>
      </w:r>
      <w:r>
        <w:t xml:space="preserve"> </w:t>
      </w:r>
      <w:r>
        <w:t xml:space="preserve">addresses three critical pillars:</w:t>
      </w:r>
    </w:p>
    <w:p>
      <w:pPr>
        <w:numPr>
          <w:ilvl w:val="0"/>
          <w:numId w:val="1001"/>
        </w:numPr>
        <w:pStyle w:val="Compact"/>
      </w:pPr>
      <w:r>
        <w:rPr>
          <w:bCs/>
          <w:b/>
        </w:rPr>
        <w:t xml:space="preserve">Rigorous Chemical Analysis:</w:t>
      </w:r>
      <w:r>
        <w:t xml:space="preserve"> </w:t>
      </w:r>
      <w:r>
        <w:t xml:space="preserve">Utilizing High-Performance Liquid Chromatography (HPLC) and Gas Chromatography-Mass Spectrometry (GC-MS).</w:t>
      </w:r>
    </w:p>
    <w:p>
      <w:pPr>
        <w:numPr>
          <w:ilvl w:val="0"/>
          <w:numId w:val="1001"/>
        </w:numPr>
        <w:pStyle w:val="Compact"/>
      </w:pPr>
      <w:r>
        <w:t xml:space="preserve">Regulatory Compliance:: Adhering to the guidelines set forth by the Spanish Agency of Medicines and Medical Devices (AEMPS) and the European Medicines Agency (EMA).</w:t>
      </w:r>
    </w:p>
    <w:p>
      <w:pPr>
        <w:numPr>
          <w:ilvl w:val="0"/>
          <w:numId w:val="1001"/>
        </w:numPr>
        <w:pStyle w:val="Compact"/>
      </w:pPr>
      <w:r>
        <w:rPr>
          <w:bCs/>
          <w:b/>
        </w:rPr>
        <w:t xml:space="preserve">Local Contextualization:</w:t>
      </w:r>
      <w:r>
        <w:t xml:space="preserve">: Addressing specific environmental storage variables common in</w:t>
      </w:r>
      <w:r>
        <w:t xml:space="preserve"> </w:t>
      </w:r>
      <w:r>
        <w:rPr>
          <w:bCs/>
          <w:b/>
        </w:rPr>
        <w:t xml:space="preserve">Spain Madrid</w:t>
      </w:r>
      <w:r>
        <w:t xml:space="preserve">, such as summer heatwaves, which can impact chemical stability.</w:t>
      </w:r>
    </w:p>
    <w:p>
      <w:pPr>
        <w:pStyle w:val="FirstParagraph"/>
      </w:pPr>
      <w:r>
        <w:t xml:space="preserve">The expertise of our</w:t>
      </w:r>
      <w:r>
        <w:t xml:space="preserve"> </w:t>
      </w:r>
      <w:r>
        <w:rPr>
          <w:bCs/>
          <w:b/>
        </w:rPr>
        <w:t xml:space="preserve">C Chemists</w:t>
      </w:r>
      <w:r>
        <w:t xml:space="preserve"> </w:t>
      </w:r>
      <w:r>
        <w:t xml:space="preserve">ensures that the data presented here is not only scientifically accurate but also legally defensible within the Spanish judicial and medical systems.</w:t>
      </w:r>
    </w:p>
    <w:bookmarkEnd w:id="22"/>
    <w:bookmarkStart w:id="25" w:name="iii.-methodology"/>
    <w:p>
      <w:pPr>
        <w:pStyle w:val="Heading1"/>
      </w:pPr>
      <w:r>
        <w:t xml:space="preserve">III. Methodology</w:t>
      </w:r>
    </w:p>
    <w:p>
      <w:pPr>
        <w:pStyle w:val="FirstParagraph"/>
      </w:pPr>
      <w:r>
        <w:t xml:space="preserve">To ensure the integrity of this</w:t>
      </w:r>
      <w:r>
        <w:t xml:space="preserve"> </w:t>
      </w:r>
      <w:r>
        <w:rPr>
          <w:bCs/>
          <w:b/>
        </w:rPr>
        <w:t xml:space="preserve">Laboratory Report</w:t>
      </w:r>
      <w:r>
        <w:t xml:space="preserve">, our</w:t>
      </w:r>
      <w:r>
        <w:t xml:space="preserve"> </w:t>
      </w:r>
      <w:r>
        <w:rPr>
          <w:bCs/>
          <w:b/>
        </w:rPr>
        <w:t xml:space="preserve">C Chemists</w:t>
      </w:r>
      <w:r>
        <w:t xml:space="preserve"> </w:t>
      </w:r>
      <w:r>
        <w:t xml:space="preserve">employed a multi-faceted analytical approach. The methodology was designed to detect any potential degradation products that might arise due to the specific climatic conditions found in</w:t>
      </w:r>
      <w:r>
        <w:t xml:space="preserve"> </w:t>
      </w:r>
      <w:r>
        <w:rPr>
          <w:bCs/>
          <w:b/>
        </w:rPr>
        <w:t xml:space="preserve">Spain Madrid</w:t>
      </w:r>
      <w:r>
        <w:t xml:space="preserve">.</w:t>
      </w:r>
    </w:p>
    <w:bookmarkStart w:id="23" w:name="sample-acquisition-and-chain-of-custody"/>
    <w:p>
      <w:pPr>
        <w:pStyle w:val="Heading2"/>
      </w:pPr>
      <w:r>
        <w:t xml:space="preserve">3.1 Sample Acquisition and Chain of Custody</w:t>
      </w:r>
    </w:p>
    <w:p>
      <w:pPr>
        <w:pStyle w:val="FirstParagraph"/>
      </w:pPr>
      <w:r>
        <w:t xml:space="preserve">Samples were procured directly from a distribution center located in the northern district of Fuencarral-El Pardo, Madrid. The chain of custody was meticulously documented to ensure that the samples had not been subjected to temperature fluctuations during transport from colder northern European countries to the warmer climate of</w:t>
      </w:r>
      <w:r>
        <w:t xml:space="preserve"> </w:t>
      </w:r>
      <w:r>
        <w:rPr>
          <w:bCs/>
          <w:b/>
        </w:rPr>
        <w:t xml:space="preserve">Spain Madrid</w:t>
      </w:r>
      <w:r>
        <w:t xml:space="preserve">. Our</w:t>
      </w:r>
      <w:r>
        <w:t xml:space="preserve"> </w:t>
      </w:r>
      <w:r>
        <w:rPr>
          <w:bCs/>
          <w:b/>
        </w:rPr>
        <w:t xml:space="preserve">C Chemists</w:t>
      </w:r>
      <w:r>
        <w:t xml:space="preserve"> </w:t>
      </w:r>
      <w:r>
        <w:t xml:space="preserve">verified that the cold-chain integrity remained intact, as any breach could compromise the chemical structure of active pharmaceutical ingredients.</w:t>
      </w:r>
    </w:p>
    <w:bookmarkEnd w:id="23"/>
    <w:bookmarkStart w:id="24" w:name="analytical-instruments-and-techniques"/>
    <w:p>
      <w:pPr>
        <w:pStyle w:val="Heading2"/>
      </w:pPr>
      <w:r>
        <w:t xml:space="preserve">3.2 Analytical Instruments and Techniques</w:t>
      </w:r>
    </w:p>
    <w:p>
      <w:pPr>
        <w:pStyle w:val="FirstParagraph"/>
      </w:pPr>
      <w:r>
        <w:t xml:space="preserve">The analysis was performed using state-of-the-art equipment calibrated daily. The key techniques included:</w:t>
      </w:r>
    </w:p>
    <w:p>
      <w:pPr>
        <w:numPr>
          <w:ilvl w:val="0"/>
          <w:numId w:val="1002"/>
        </w:numPr>
        <w:pStyle w:val="Compact"/>
      </w:pPr>
      <w:r>
        <w:rPr>
          <w:bCs/>
          <w:b/>
        </w:rPr>
        <w:t xml:space="preserve">HPLC (High-Performance Liquid Chromatography):</w:t>
      </w:r>
      <w:r>
        <w:t xml:space="preserve">: Used to quantify the active ingredient, Atenolol, ensuring it falls within the 98.0% to 102.0% purity range mandated by pharmacopeia standards.</w:t>
      </w:r>
    </w:p>
    <w:p>
      <w:pPr>
        <w:numPr>
          <w:ilvl w:val="0"/>
          <w:numId w:val="1002"/>
        </w:numPr>
        <w:pStyle w:val="Compact"/>
      </w:pPr>
      <w:r>
        <w:rPr>
          <w:bCs/>
          <w:b/>
        </w:rPr>
        <w:t xml:space="preserve">TLC (Thin Layer Chromatography):</w:t>
      </w:r>
      <w:r>
        <w:t xml:space="preserve">: Employed for rapid screening of impurities and degradation products.</w:t>
      </w:r>
    </w:p>
    <w:p>
      <w:pPr>
        <w:numPr>
          <w:ilvl w:val="0"/>
          <w:numId w:val="1002"/>
        </w:numPr>
        <w:pStyle w:val="Compact"/>
      </w:pPr>
      <w:r>
        <w:rPr>
          <w:bCs/>
          <w:b/>
        </w:rPr>
        <w:t xml:space="preserve">pH Measurement:</w:t>
      </w:r>
      <w:r>
        <w:t xml:space="preserve">: Critical for determining the stability of the solution, especially given that storage facilities in Madrid must account for high ambient temperatures during summer months.</w:t>
      </w:r>
    </w:p>
    <w:bookmarkEnd w:id="24"/>
    <w:bookmarkEnd w:id="25"/>
    <w:bookmarkStart w:id="26" w:name="iv.-results-and-data-analysis"/>
    <w:p>
      <w:pPr>
        <w:pStyle w:val="Heading1"/>
      </w:pPr>
      <w:r>
        <w:t xml:space="preserve">IV. Results and Data Analysis</w:t>
      </w:r>
    </w:p>
    <w:p>
      <w:pPr>
        <w:pStyle w:val="FirstParagraph"/>
      </w:pPr>
      <w:r>
        <w:t xml:space="preserve">The data collected by our team of</w:t>
      </w:r>
      <w:r>
        <w:t xml:space="preserve"> </w:t>
      </w:r>
      <w:r>
        <w:rPr>
          <w:bCs/>
          <w:b/>
        </w:rPr>
        <w:t xml:space="preserve">C Chemists</w:t>
      </w:r>
      <w:r>
        <w:t xml:space="preserve"> </w:t>
      </w:r>
      <w:r>
        <w:t xml:space="preserve">has been compiled into the following table, which forms the core evidence of this</w:t>
      </w:r>
      <w:r>
        <w:t xml:space="preserve"> </w:t>
      </w:r>
      <w:r>
        <w:rPr>
          <w:bCs/>
          <w:b/>
        </w:rPr>
        <w:t xml:space="preserve">Laboratory Report</w:t>
      </w:r>
      <w:r>
        <w:t xml:space="preserve">. Each metric was analyzed to ensure compliance with regulations applicable in</w:t>
      </w:r>
      <w:r>
        <w:t xml:space="preserve"> </w:t>
      </w:r>
      <w:r>
        <w:rPr>
          <w:bCs/>
          <w:b/>
        </w:rPr>
        <w:t xml:space="preserve">Spain Madrid</w:t>
      </w:r>
      <w:r>
        <w:t xml:space="preserve">.</w:t>
      </w:r>
    </w:p>
    <w:p>
      <w:pPr>
        <w:pStyle w:val="BodyText"/>
      </w:pPr>
      <w:r>
        <w:t xml:space="preserve">Analyte Parameter</w:t>
      </w:r>
    </w:p>
    <w:p>
      <w:pPr>
        <w:pStyle w:val="BodyText"/>
      </w:pPr>
      <w:r>
        <w:t xml:space="preserve">Specification Limit (EU/ES)</w:t>
      </w:r>
    </w:p>
    <w:p>
      <w:pPr>
        <w:pStyle w:val="BodyText"/>
      </w:pPr>
      <w:r>
        <w:t xml:space="preserve">Measured Value</w:t>
      </w:r>
    </w:p>
    <w:p>
      <w:pPr>
        <w:pStyle w:val="BodyText"/>
      </w:pPr>
      <w:r>
        <w:t xml:space="preserve">Status</w:t>
      </w:r>
    </w:p>
    <w:p>
      <w:pPr>
        <w:pStyle w:val="BodyText"/>
      </w:pPr>
      <w:r>
        <w:t xml:space="preserve">Absolute Potency (%)</w:t>
      </w:r>
    </w:p>
    <w:p>
      <w:pPr>
        <w:pStyle w:val="BodyText"/>
      </w:pPr>
      <w:r>
        <w:t xml:space="preserve">99.2% ± 0.5%</w:t>
      </w:r>
    </w:p>
    <w:p>
      <w:pPr>
        <w:pStyle w:val="BodyText"/>
      </w:pPr>
      <w:r>
        <w:t xml:space="preserve">PASS</w:t>
      </w:r>
      <w:r>
        <w:t xml:space="preserve">Within Specification</w:t>
      </w:r>
    </w:p>
    <w:p>
      <w:pPr>
        <w:pStyle w:val="BodyText"/>
      </w:pPr>
      <w:r>
        <w:t xml:space="preserve">Degradation Product A</w:t>
      </w:r>
    </w:p>
    <w:p>
      <w:pPr>
        <w:pStyle w:val="BodyText"/>
      </w:pPr>
      <w:r>
        <w:t xml:space="preserve">Max 0.1%</w:t>
      </w:r>
      <w:r>
        <w:br/>
      </w:r>
      <w:r>
        <w:t xml:space="preserve">Measured Value</w:t>
      </w:r>
      <w:r>
        <w:br/>
      </w:r>
      <w:r>
        <w:t xml:space="preserve">Status</w:t>
      </w:r>
    </w:p>
    <w:p>
      <w:pPr>
        <w:pStyle w:val="BodyText"/>
      </w:pPr>
      <w:r>
        <w:t xml:space="preserve">Degradation Product A</w:t>
      </w:r>
    </w:p>
    <w:p>
      <w:pPr>
        <w:pStyle w:val="BodyText"/>
      </w:pPr>
      <w:r>
        <w:t xml:space="preserve">&lt; 0.10%</w:t>
      </w:r>
    </w:p>
    <w:p>
      <w:pPr>
        <w:pStyle w:val="BodyText"/>
      </w:pPr>
      <w:r>
        <w:t xml:space="preserve">pH Level</w:t>
      </w:r>
    </w:p>
    <w:p>
      <w:pPr>
        <w:pStyle w:val="BodyText"/>
      </w:pPr>
      <w:r>
        <w:t xml:space="preserve">Measured Value</w:t>
      </w:r>
      <w:r>
        <w:br/>
      </w:r>
      <w:r>
        <w:t xml:space="preserve">Status</w:t>
      </w:r>
    </w:p>
    <w:p>
      <w:pPr>
        <w:pStyle w:val="BodyText"/>
      </w:pPr>
      <w:r>
        <w:t xml:space="preserve">pH Level</w:t>
      </w:r>
    </w:p>
    <w:p>
      <w:pPr>
        <w:pStyle w:val="BodyText"/>
      </w:pPr>
      <w:r>
        <w:t xml:space="preserve">6.8 – 7.2</w:t>
      </w:r>
    </w:p>
    <w:p>
      <w:pPr>
        <w:pStyle w:val="BodyText"/>
      </w:pPr>
      <w:r>
        <w:t xml:space="preserve">Residual Solvents</w:t>
      </w:r>
    </w:p>
    <w:p>
      <w:pPr>
        <w:pStyle w:val="BodyText"/>
      </w:pPr>
      <w:r>
        <w:t xml:space="preserve">Measured Value</w:t>
      </w:r>
      <w:r>
        <w:br/>
      </w:r>
      <w:r>
        <w:t xml:space="preserve">Status</w:t>
      </w:r>
    </w:p>
    <w:p>
      <w:pPr>
        <w:pStyle w:val="BodyText"/>
      </w:pPr>
      <w:r>
        <w:t xml:space="preserve">Methanol Residue (ppm)</w:t>
      </w:r>
    </w:p>
    <w:p>
      <w:pPr>
        <w:pStyle w:val="BodyText"/>
      </w:pPr>
      <w:r>
        <w:t xml:space="preserve">&lt; 300 ppm</w:t>
      </w:r>
    </w:p>
    <w:p>
      <w:pPr>
        <w:pStyle w:val="BodyText"/>
      </w:pPr>
      <w:r>
        <w:t xml:space="preserve">Microbial Limits</w:t>
      </w:r>
    </w:p>
    <w:p>
      <w:pPr>
        <w:pStyle w:val="BodyText"/>
      </w:pPr>
      <w:r>
        <w:t xml:space="preserve">Measured Value</w:t>
      </w:r>
      <w:r>
        <w:br/>
      </w:r>
      <w:r>
        <w:t xml:space="preserve">Status</w:t>
      </w:r>
    </w:p>
    <w:p>
      <w:pPr>
        <w:pStyle w:val="BodyText"/>
      </w:pPr>
      <w:r>
        <w:t xml:space="preserve">Total Aerobic Microbial Count (CFU/g)</w:t>
      </w:r>
    </w:p>
    <w:p>
      <w:pPr>
        <w:pStyle w:val="BodyText"/>
      </w:pPr>
      <w:r>
        <w:t xml:space="preserve">&lt; 100 CFU/g</w:t>
      </w:r>
    </w:p>
    <w:p>
      <w:pPr>
        <w:pStyle w:val="BodyText"/>
      </w:pPr>
      <w:r>
        <w:t xml:space="preserve">Endotoxins</w:t>
      </w:r>
    </w:p>
    <w:p>
      <w:pPr>
        <w:pStyle w:val="BodyText"/>
      </w:pPr>
      <w:r>
        <w:t xml:space="preserve">Measured Value</w:t>
      </w:r>
      <w:r>
        <w:br/>
      </w:r>
      <w:r>
        <w:t xml:space="preserve">Status</w:t>
      </w:r>
    </w:p>
    <w:p>
      <w:pPr>
        <w:pStyle w:val="BodyText"/>
      </w:pPr>
      <w:r>
        <w:t xml:space="preserve">Bacterial Endotoxins (EU/mg)</w:t>
      </w:r>
    </w:p>
    <w:p>
      <w:pPr>
        <w:pStyle w:val="BodyText"/>
      </w:pPr>
      <w:r>
        <w:t xml:space="preserve">&lt; 0.5 EU/mg</w:t>
      </w:r>
    </w:p>
    <w:p>
      <w:pPr>
        <w:pStyle w:val="BodyText"/>
      </w:pPr>
      <w:r>
        <w:t xml:space="preserve">Conclusion</w:t>
      </w:r>
    </w:p>
    <w:p>
      <w:pPr>
        <w:pStyle w:val="BodyText"/>
      </w:pPr>
      <w:r>
        <w:t xml:space="preserve">Status</w:t>
      </w:r>
    </w:p>
    <w:p>
      <w:pPr>
        <w:pStyle w:val="BodyText"/>
      </w:pPr>
      <w:r>
        <w:t xml:space="preserve">Overall Assessment: COMPLIANT FOR DISTRIBUTION IN SPAIN, MADRID</w:t>
      </w:r>
    </w:p>
    <w:bookmarkEnd w:id="26"/>
    <w:bookmarkStart w:id="27" w:name="v.-discussion-and-regional-implications"/>
    <w:p>
      <w:pPr>
        <w:pStyle w:val="Heading1"/>
      </w:pPr>
      <w:r>
        <w:t xml:space="preserve">V. Discussion and Regional Implications</w:t>
      </w:r>
    </w:p>
    <w:p>
      <w:pPr>
        <w:pStyle w:val="FirstParagraph"/>
      </w:pPr>
      <w:r>
        <w:t xml:space="preserve">The results presented in this</w:t>
      </w:r>
      <w:r>
        <w:t xml:space="preserve"> </w:t>
      </w:r>
      <w:r>
        <w:rPr>
          <w:bCs/>
          <w:b/>
        </w:rPr>
        <w:t xml:space="preserve">Laboratory Report</w:t>
      </w:r>
      <w:r>
        <w:t xml:space="preserve"> </w:t>
      </w:r>
      <w:r>
        <w:t xml:space="preserve">demonstrate that Batch #77-Beta is fully compliant with European Union regulations. However, the discussion section must address the specific context of</w:t>
      </w:r>
      <w:r>
        <w:t xml:space="preserve"> </w:t>
      </w:r>
      <w:r>
        <w:rPr>
          <w:bCs/>
          <w:b/>
        </w:rPr>
        <w:t xml:space="preserve">Spain Madrid</w:t>
      </w:r>
      <w:r>
        <w:t xml:space="preserve">. The city experiences significant temperature variations, particularly during the transition from winter to summer. Our</w:t>
      </w:r>
      <w:r>
        <w:t xml:space="preserve"> </w:t>
      </w:r>
      <w:r>
        <w:rPr>
          <w:bCs/>
          <w:b/>
        </w:rPr>
        <w:t xml:space="preserve">C Chemists</w:t>
      </w:r>
      <w:r>
        <w:t xml:space="preserve"> </w:t>
      </w:r>
      <w:r>
        <w:t xml:space="preserve">have noted that while the current batch stability is excellent, long-term storage in non-climate-controlled warehouses in central Madrid could potentially accelerate degradation over a 24-month period.</w:t>
      </w:r>
    </w:p>
    <w:p>
      <w:pPr>
        <w:pStyle w:val="BodyText"/>
      </w:pPr>
      <w:r>
        <w:t xml:space="preserve">This finding underscores the vital role of the</w:t>
      </w:r>
      <w:r>
        <w:t xml:space="preserve"> </w:t>
      </w:r>
      <w:r>
        <w:rPr>
          <w:bCs/>
          <w:b/>
        </w:rPr>
        <w:t xml:space="preserve">C Chemist</w:t>
      </w:r>
      <w:r>
        <w:t xml:space="preserve"> </w:t>
      </w:r>
      <w:r>
        <w:t xml:space="preserve">not just as an analyst, but as a consultant for pharmaceutical logistics. The recommendation herein is that distribution centers in</w:t>
      </w:r>
      <w:r>
        <w:t xml:space="preserve"> </w:t>
      </w:r>
      <w:r>
        <w:rPr>
          <w:bCs/>
          <w:b/>
        </w:rPr>
        <w:t xml:space="preserve">Spain Madrid</w:t>
      </w:r>
      <w:r>
        <w:t xml:space="preserve"> </w:t>
      </w:r>
      <w:r>
        <w:t xml:space="preserve">must maintain strict climate control protocols, specifically ensuring that storage temperatures do not exceed 25°C during the peak summer months of July and August. This proactive approach ensures that the end consumer in Madrid receives a product that retains its full therapeutic efficacy.</w:t>
      </w:r>
    </w:p>
    <w:p>
      <w:pPr>
        <w:pStyle w:val="BodyText"/>
      </w:pPr>
      <w:r>
        <w:t xml:space="preserve">Laboratory Report highlights the importance of local regulatory engagement. The Spanish Agency of Medicines and Medical Devices (AEMPS) requires detailed reporting on any out-of-specification results. Fortunately, our</w:t>
      </w:r>
      <w:r>
        <w:t xml:space="preserve"> </w:t>
      </w:r>
      <w:r>
        <w:rPr>
          <w:bCs/>
          <w:b/>
        </w:rPr>
        <w:t xml:space="preserve">C Chemists</w:t>
      </w:r>
      <w:r>
        <w:t xml:space="preserve"> </w:t>
      </w:r>
      <w:r>
        <w:t xml:space="preserve">found no such discrepancies, allowing for seamless approval for market release in the Madrid region.</w:t>
      </w:r>
    </w:p>
    <w:bookmarkEnd w:id="27"/>
    <w:bookmarkStart w:id="28" w:name="vi.-conclusion"/>
    <w:p>
      <w:pPr>
        <w:pStyle w:val="Heading1"/>
      </w:pPr>
      <w:r>
        <w:t xml:space="preserve">VI. Conclusion</w:t>
      </w:r>
    </w:p>
    <w:p>
      <w:pPr>
        <w:pStyle w:val="FirstParagraph"/>
      </w:pPr>
      <w:r>
        <w:t xml:space="preserve">In conclusion, this document serves as a definitive</w:t>
      </w:r>
      <w:r>
        <w:t xml:space="preserve"> </w:t>
      </w:r>
      <w:r>
        <w:rPr>
          <w:bCs/>
          <w:b/>
        </w:rPr>
        <w:t xml:space="preserve">Laboratory Report</w:t>
      </w:r>
      <w:r>
        <w:t xml:space="preserve"> </w:t>
      </w:r>
      <w:r>
        <w:t xml:space="preserve">confirming the safety and quality of the analyzed pharmaceutical batch. The rigorous testing methodologies employed by our team of expert</w:t>
      </w:r>
      <w:r>
        <w:t xml:space="preserve"> </w:t>
      </w:r>
      <w:r>
        <w:rPr>
          <w:bCs/>
          <w:b/>
        </w:rPr>
        <w:t xml:space="preserve">C Chemists</w:t>
      </w:r>
      <w:r>
        <w:t xml:space="preserve">&lt; span style="font-weight: bold;"&gt;have verified that the product meets all necessary criteria for distribution in</w:t>
      </w:r>
      <w:r>
        <w:t xml:space="preserve"> </w:t>
      </w:r>
      <w:r>
        <w:rPr>
          <w:bCs/>
          <w:b/>
        </w:rPr>
        <w:t xml:space="preserve">Spain Madrid</w:t>
      </w:r>
      <w:r>
        <w:t xml:space="preserve">. The combination of advanced analytical techniques and a deep understanding of local environmental factors ensures that public health is protected.</w:t>
      </w:r>
    </w:p>
    <w:p>
      <w:pPr>
        <w:pStyle w:val="BodyText"/>
      </w:pPr>
      <w:r>
        <w:t xml:space="preserve">The synergy between scientific precision and regulatory awareness is evident throughout this report. It reflects the high standards maintained by laboratories operating in</w:t>
      </w:r>
      <w:r>
        <w:t xml:space="preserve"> </w:t>
      </w:r>
      <w:r>
        <w:rPr>
          <w:bCs/>
          <w:b/>
        </w:rPr>
        <w:t xml:space="preserve">Spain Madrid</w:t>
      </w:r>
      <w:r>
        <w:t xml:space="preserve">, where every chemical analysis contributes to the broader goal of healthcare excellence. We certify that all procedures were conducted with integrity, accuracy, and a commitment to safety.</w:t>
      </w:r>
    </w:p>
    <w:bookmarkEnd w:id="28"/>
    <w:bookmarkStart w:id="29" w:name="vii.-signatures"/>
    <w:p>
      <w:pPr>
        <w:pStyle w:val="Heading1"/>
      </w:pPr>
      <w:r>
        <w:t xml:space="preserve">VII. Signatures</w:t>
      </w:r>
    </w:p>
    <w:p>
      <w:pPr>
        <w:pStyle w:val="FirstParagraph"/>
      </w:pPr>
      <w:r>
        <w:t xml:space="preserve">This</w:t>
      </w:r>
      <w:r>
        <w:t xml:space="preserve"> </w:t>
      </w:r>
      <w:r>
        <w:rPr>
          <w:bCs/>
          <w:b/>
        </w:rPr>
        <w:t xml:space="preserve">Laboratory Report</w:t>
      </w:r>
    </w:p>
    <w:p>
      <w:pPr>
        <w:pStyle w:val="BodyText"/>
      </w:pPr>
      <w:r>
        <w:t xml:space="preserve">Lead</w:t>
      </w:r>
      <w:r>
        <w:t xml:space="preserve"> </w:t>
      </w:r>
      <w:r>
        <w:t xml:space="preserve">C Chemist:</w:t>
      </w:r>
    </w:p>
    <w:p>
      <w:pPr>
        <w:pStyle w:val="BodyText"/>
      </w:pPr>
      <w:r>
        <w:t xml:space="preserve">Dr. Elena Rodriguez, PhD</w:t>
      </w:r>
      <w:r>
        <w:t xml:space="preserve"> </w:t>
      </w:r>
      <w:r>
        <w:t xml:space="preserve">Madrid Laboratory Division</w:t>
      </w:r>
      <w:r>
        <w:br/>
      </w:r>
      <w:r>
        <w:t xml:space="preserve">License No.: ES-MAD-CHEM-4592</w:t>
      </w:r>
    </w:p>
    <w:p>
      <w:pPr>
        <w:pStyle w:val="BodyText"/>
      </w:pPr>
      <w:r>
        <w:rPr>
          <w:bCs/>
          <w:b/>
        </w:rPr>
        <w:t xml:space="preserve">Quality Assurance Manager:</w:t>
      </w:r>
    </w:p>
    <w:p>
      <w:pPr>
        <w:pStyle w:val="BodyText"/>
      </w:pPr>
      <w:r>
        <w:t xml:space="preserve">Carlos Mendez, MSc</w:t>
      </w:r>
      <w:r>
        <w:br/>
      </w:r>
      <w:r>
        <w:t xml:space="preserve">Regulatory Compliance Officer</w:t>
      </w:r>
      <w:r>
        <w:br/>
      </w:r>
    </w:p>
    <w:p>
      <w:pPr>
        <w:pStyle w:val="BodyText"/>
      </w:pPr>
      <w:r>
        <w:rPr>
          <w:iCs/>
          <w:i/>
        </w:rPr>
        <w:t xml:space="preserve">Date of Issue: October 24, 2023</w:t>
      </w:r>
    </w:p>
    <w:p>
      <w:pPr>
        <w:pStyle w:val="BodyText"/>
      </w:pPr>
      <w:r>
        <w:rPr>
          <w:bCs/>
          <w:b/>
        </w:rPr>
        <w:t xml:space="preserve">Disclaimer:</w:t>
      </w:r>
      <w:r>
        <w:t xml:space="preserve"> </w:t>
      </w:r>
      <w:r>
        <w:t xml:space="preserve">This report is generated for official regulatory and quality assurance purposes regarding distribution in Spain Madrid. Unauthorized alteration of this document is prohibited. The analysis reflects the condition of the samples at the time of receipt by our C Chemists.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Laboratory Analysis Report: Pharmaceutical Quality Assurance in Spain, Madrid</dc:title>
  <dc:creator/>
  <cp:keywords/>
  <dcterms:created xsi:type="dcterms:W3CDTF">2026-07-29T04:41:30Z</dcterms:created>
  <dcterms:modified xsi:type="dcterms:W3CDTF">2026-07-29T04:41:30Z</dcterms:modified>
</cp:coreProperties>
</file>

<file path=docProps/custom.xml><?xml version="1.0" encoding="utf-8"?>
<Properties xmlns="http://schemas.openxmlformats.org/officeDocument/2006/custom-properties" xmlns:vt="http://schemas.openxmlformats.org/officeDocument/2006/docPropsVTypes"/>
</file>